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DDC9" w14:textId="7C897ED0" w:rsidR="00697656" w:rsidRPr="00BF6C54" w:rsidRDefault="0073774E" w:rsidP="00BF6C54">
      <w:sdt>
        <w:sdtPr>
          <w:id w:val="-1343157528"/>
          <w:docPartObj>
            <w:docPartGallery w:val="Cover Pages"/>
            <w:docPartUnique/>
          </w:docPartObj>
        </w:sdtPr>
        <w:sdtEndPr/>
        <w:sdtContent>
          <w:r w:rsidR="00697656">
            <w:rPr>
              <w:noProof/>
              <w:lang w:eastAsia="en-IE"/>
            </w:rPr>
            <mc:AlternateContent>
              <mc:Choice Requires="wps">
                <w:drawing>
                  <wp:anchor distT="45720" distB="45720" distL="114300" distR="114300" simplePos="0" relativeHeight="251660288" behindDoc="0" locked="0" layoutInCell="1" allowOverlap="1" wp14:anchorId="5AB8D651" wp14:editId="4A2547AB">
                    <wp:simplePos x="0" y="0"/>
                    <wp:positionH relativeFrom="column">
                      <wp:posOffset>247650</wp:posOffset>
                    </wp:positionH>
                    <wp:positionV relativeFrom="paragraph">
                      <wp:posOffset>5692140</wp:posOffset>
                    </wp:positionV>
                    <wp:extent cx="5267325" cy="2038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038350"/>
                            </a:xfrm>
                            <a:prstGeom prst="rect">
                              <a:avLst/>
                            </a:prstGeom>
                            <a:noFill/>
                            <a:ln w="9525">
                              <a:noFill/>
                              <a:miter lim="800000"/>
                              <a:headEnd/>
                              <a:tailEnd/>
                            </a:ln>
                          </wps:spPr>
                          <wps:txbx>
                            <w:txbxContent>
                              <w:p w14:paraId="69A7F7D8" w14:textId="7372E0C3" w:rsidR="00697656" w:rsidRDefault="00782F51" w:rsidP="00697656">
                                <w:pPr>
                                  <w:jc w:val="center"/>
                                  <w:rPr>
                                    <w:color w:val="FFFFFF" w:themeColor="background1"/>
                                    <w:sz w:val="40"/>
                                  </w:rPr>
                                </w:pPr>
                                <w:r>
                                  <w:rPr>
                                    <w:color w:val="FFFFFF" w:themeColor="background1"/>
                                    <w:sz w:val="40"/>
                                  </w:rPr>
                                  <w:t>Office of the Director of Public Prosecutions</w:t>
                                </w:r>
                              </w:p>
                              <w:p w14:paraId="4E1D3E67" w14:textId="219C8648" w:rsidR="00782F51" w:rsidRPr="00697656" w:rsidRDefault="00782F51" w:rsidP="00697656">
                                <w:pPr>
                                  <w:jc w:val="center"/>
                                  <w:rPr>
                                    <w:color w:val="FFFFFF" w:themeColor="background1"/>
                                    <w:sz w:val="40"/>
                                  </w:rPr>
                                </w:pPr>
                                <w:r>
                                  <w:rPr>
                                    <w:color w:val="FFFFFF" w:themeColor="background1"/>
                                    <w:sz w:val="40"/>
                                  </w:rPr>
                                  <w:t>Gender Pay Gap Report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8D651" id="_x0000_t202" coordsize="21600,21600" o:spt="202" path="m,l,21600r21600,l21600,xe">
                    <v:stroke joinstyle="miter"/>
                    <v:path gradientshapeok="t" o:connecttype="rect"/>
                  </v:shapetype>
                  <v:shape id="Text Box 2" o:spid="_x0000_s1026" type="#_x0000_t202" style="position:absolute;left:0;text-align:left;margin-left:19.5pt;margin-top:448.2pt;width:414.75pt;height:1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" filled="f" stroked="f">
                    <v:textbox>
                      <w:txbxContent>
                        <w:p w14:paraId="69A7F7D8" w14:textId="7372E0C3" w:rsidR="00697656" w:rsidRDefault="00782F51" w:rsidP="00697656">
                          <w:pPr>
                            <w:jc w:val="center"/>
                            <w:rPr>
                              <w:color w:val="FFFFFF" w:themeColor="background1"/>
                              <w:sz w:val="40"/>
                            </w:rPr>
                          </w:pPr>
                          <w:r>
                            <w:rPr>
                              <w:color w:val="FFFFFF" w:themeColor="background1"/>
                              <w:sz w:val="40"/>
                            </w:rPr>
                            <w:t>Office of the Director of Public Prosecutions</w:t>
                          </w:r>
                        </w:p>
                        <w:p w14:paraId="4E1D3E67" w14:textId="219C8648" w:rsidR="00782F51" w:rsidRPr="00697656" w:rsidRDefault="00782F51" w:rsidP="00697656">
                          <w:pPr>
                            <w:jc w:val="center"/>
                            <w:rPr>
                              <w:color w:val="FFFFFF" w:themeColor="background1"/>
                              <w:sz w:val="40"/>
                            </w:rPr>
                          </w:pPr>
                          <w:r>
                            <w:rPr>
                              <w:color w:val="FFFFFF" w:themeColor="background1"/>
                              <w:sz w:val="40"/>
                            </w:rPr>
                            <w:t>Gender Pay Gap Report 2024</w:t>
                          </w:r>
                        </w:p>
                      </w:txbxContent>
                    </v:textbox>
                    <w10:wrap type="square"/>
                  </v:shape>
                </w:pict>
              </mc:Fallback>
            </mc:AlternateContent>
          </w:r>
          <w:r w:rsidR="00AD65BD">
            <w:rPr>
              <w:noProof/>
              <w:lang w:eastAsia="en-IE"/>
            </w:rPr>
            <w:drawing>
              <wp:anchor distT="0" distB="0" distL="114300" distR="114300" simplePos="0" relativeHeight="251658240" behindDoc="0" locked="0" layoutInCell="1" allowOverlap="1" wp14:anchorId="605DA994" wp14:editId="052DAD97">
                <wp:simplePos x="0" y="0"/>
                <wp:positionH relativeFrom="margin">
                  <wp:posOffset>-944880</wp:posOffset>
                </wp:positionH>
                <wp:positionV relativeFrom="margin">
                  <wp:posOffset>-1080135</wp:posOffset>
                </wp:positionV>
                <wp:extent cx="7659370" cy="108331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Branding_CoverPage.jpg"/>
                        <pic:cNvPicPr/>
                      </pic:nvPicPr>
                      <pic:blipFill>
                        <a:blip r:embed="rId12">
                          <a:extLst>
                            <a:ext uri="{28A0092B-C50C-407E-A947-70E740481C1C}">
                              <a14:useLocalDpi xmlns:a14="http://schemas.microsoft.com/office/drawing/2010/main" val="0"/>
                            </a:ext>
                          </a:extLst>
                        </a:blip>
                        <a:stretch>
                          <a:fillRect/>
                        </a:stretch>
                      </pic:blipFill>
                      <pic:spPr>
                        <a:xfrm>
                          <a:off x="0" y="0"/>
                          <a:ext cx="7659370" cy="10833100"/>
                        </a:xfrm>
                        <a:prstGeom prst="rect">
                          <a:avLst/>
                        </a:prstGeom>
                      </pic:spPr>
                    </pic:pic>
                  </a:graphicData>
                </a:graphic>
                <wp14:sizeRelH relativeFrom="margin">
                  <wp14:pctWidth>0</wp14:pctWidth>
                </wp14:sizeRelH>
                <wp14:sizeRelV relativeFrom="margin">
                  <wp14:pctHeight>0</wp14:pctHeight>
                </wp14:sizeRelV>
              </wp:anchor>
            </w:drawing>
          </w:r>
          <w:r w:rsidR="00AD65BD">
            <w:br w:type="page"/>
          </w:r>
        </w:sdtContent>
      </w:sdt>
    </w:p>
    <w:p w14:paraId="4F98B597" w14:textId="2DECF9E0" w:rsidR="00BF6C54" w:rsidRDefault="00BF6C54" w:rsidP="00BF6C54">
      <w:pPr>
        <w:pStyle w:val="Heading1"/>
      </w:pPr>
      <w:bookmarkStart w:id="0" w:name="_Toc125709882"/>
      <w:bookmarkStart w:id="1" w:name="_Toc184637236"/>
      <w:r>
        <w:lastRenderedPageBreak/>
        <w:t>TABLE OF CONTENTS</w:t>
      </w:r>
      <w:bookmarkEnd w:id="0"/>
      <w:bookmarkEnd w:id="1"/>
    </w:p>
    <w:p w14:paraId="4804F9F8" w14:textId="4F678CD2" w:rsidR="00160225" w:rsidRDefault="00BF6C54">
      <w:pPr>
        <w:pStyle w:val="TOC1"/>
        <w:tabs>
          <w:tab w:val="right" w:leader="dot" w:pos="9016"/>
        </w:tabs>
        <w:rPr>
          <w:rFonts w:asciiTheme="minorHAnsi" w:eastAsiaTheme="minorEastAsia" w:hAnsiTheme="minorHAnsi"/>
          <w:b w:val="0"/>
          <w:bCs w:val="0"/>
          <w:caps w:val="0"/>
          <w:noProof/>
          <w:kern w:val="2"/>
          <w:lang w:val="en-GB" w:eastAsia="en-GB"/>
          <w14:ligatures w14:val="standardContextual"/>
        </w:rPr>
      </w:pPr>
      <w:r>
        <w:fldChar w:fldCharType="begin"/>
      </w:r>
      <w:r>
        <w:instrText xml:space="preserve"> TOC \o "1-2" \h \z \t "Title,1" </w:instrText>
      </w:r>
      <w:r>
        <w:fldChar w:fldCharType="separate"/>
      </w:r>
    </w:p>
    <w:p w14:paraId="01F670FF" w14:textId="513C56D9" w:rsidR="00160225" w:rsidRDefault="00160225">
      <w:pPr>
        <w:pStyle w:val="TOC1"/>
        <w:tabs>
          <w:tab w:val="right" w:leader="dot" w:pos="9016"/>
        </w:tabs>
        <w:rPr>
          <w:rFonts w:asciiTheme="minorHAnsi" w:eastAsiaTheme="minorEastAsia" w:hAnsiTheme="minorHAnsi"/>
          <w:b w:val="0"/>
          <w:bCs w:val="0"/>
          <w:caps w:val="0"/>
          <w:noProof/>
          <w:kern w:val="2"/>
          <w:lang w:val="en-GB" w:eastAsia="en-GB"/>
          <w14:ligatures w14:val="standardContextual"/>
        </w:rPr>
      </w:pPr>
      <w:hyperlink w:anchor="_Toc184637237" w:history="1">
        <w:r w:rsidRPr="00F2255D">
          <w:rPr>
            <w:rStyle w:val="Hyperlink"/>
            <w:noProof/>
          </w:rPr>
          <w:t>Gender Pay Gap Report 2024</w:t>
        </w:r>
        <w:r>
          <w:rPr>
            <w:noProof/>
            <w:webHidden/>
          </w:rPr>
          <w:tab/>
        </w:r>
        <w:r>
          <w:rPr>
            <w:noProof/>
            <w:webHidden/>
          </w:rPr>
          <w:fldChar w:fldCharType="begin"/>
        </w:r>
        <w:r>
          <w:rPr>
            <w:noProof/>
            <w:webHidden/>
          </w:rPr>
          <w:instrText xml:space="preserve"> PAGEREF _Toc184637237 \h </w:instrText>
        </w:r>
        <w:r>
          <w:rPr>
            <w:noProof/>
            <w:webHidden/>
          </w:rPr>
        </w:r>
        <w:r>
          <w:rPr>
            <w:noProof/>
            <w:webHidden/>
          </w:rPr>
          <w:fldChar w:fldCharType="separate"/>
        </w:r>
        <w:r w:rsidR="00E5323D">
          <w:rPr>
            <w:noProof/>
            <w:webHidden/>
          </w:rPr>
          <w:t>2</w:t>
        </w:r>
        <w:r>
          <w:rPr>
            <w:noProof/>
            <w:webHidden/>
          </w:rPr>
          <w:fldChar w:fldCharType="end"/>
        </w:r>
      </w:hyperlink>
    </w:p>
    <w:p w14:paraId="66598834" w14:textId="5E557CC8" w:rsidR="00160225" w:rsidRDefault="00160225">
      <w:pPr>
        <w:pStyle w:val="TOC1"/>
        <w:tabs>
          <w:tab w:val="right" w:leader="dot" w:pos="9016"/>
        </w:tabs>
        <w:rPr>
          <w:rFonts w:asciiTheme="minorHAnsi" w:eastAsiaTheme="minorEastAsia" w:hAnsiTheme="minorHAnsi"/>
          <w:b w:val="0"/>
          <w:bCs w:val="0"/>
          <w:caps w:val="0"/>
          <w:noProof/>
          <w:kern w:val="2"/>
          <w:lang w:val="en-GB" w:eastAsia="en-GB"/>
          <w14:ligatures w14:val="standardContextual"/>
        </w:rPr>
      </w:pPr>
      <w:hyperlink w:anchor="_Toc184637238" w:history="1">
        <w:r w:rsidRPr="00F2255D">
          <w:rPr>
            <w:rStyle w:val="Hyperlink"/>
            <w:noProof/>
          </w:rPr>
          <w:t>Introduction</w:t>
        </w:r>
        <w:r>
          <w:rPr>
            <w:noProof/>
            <w:webHidden/>
          </w:rPr>
          <w:tab/>
        </w:r>
        <w:r>
          <w:rPr>
            <w:noProof/>
            <w:webHidden/>
          </w:rPr>
          <w:fldChar w:fldCharType="begin"/>
        </w:r>
        <w:r>
          <w:rPr>
            <w:noProof/>
            <w:webHidden/>
          </w:rPr>
          <w:instrText xml:space="preserve"> PAGEREF _Toc184637238 \h </w:instrText>
        </w:r>
        <w:r>
          <w:rPr>
            <w:noProof/>
            <w:webHidden/>
          </w:rPr>
        </w:r>
        <w:r>
          <w:rPr>
            <w:noProof/>
            <w:webHidden/>
          </w:rPr>
          <w:fldChar w:fldCharType="separate"/>
        </w:r>
        <w:r w:rsidR="00E5323D">
          <w:rPr>
            <w:noProof/>
            <w:webHidden/>
          </w:rPr>
          <w:t>2</w:t>
        </w:r>
        <w:r>
          <w:rPr>
            <w:noProof/>
            <w:webHidden/>
          </w:rPr>
          <w:fldChar w:fldCharType="end"/>
        </w:r>
      </w:hyperlink>
    </w:p>
    <w:p w14:paraId="71DC31C6" w14:textId="7FEF2FD2" w:rsidR="00160225" w:rsidRDefault="00160225">
      <w:pPr>
        <w:pStyle w:val="TOC2"/>
        <w:rPr>
          <w:rFonts w:eastAsiaTheme="minorEastAsia"/>
          <w:b w:val="0"/>
          <w:bCs w:val="0"/>
          <w:noProof/>
          <w:kern w:val="2"/>
          <w:sz w:val="24"/>
          <w:szCs w:val="24"/>
          <w:lang w:val="en-GB" w:eastAsia="en-GB"/>
          <w14:ligatures w14:val="standardContextual"/>
        </w:rPr>
      </w:pPr>
      <w:hyperlink w:anchor="_Toc184637240" w:history="1">
        <w:r w:rsidRPr="00F2255D">
          <w:rPr>
            <w:rStyle w:val="Hyperlink"/>
            <w:noProof/>
          </w:rPr>
          <w:t>Snapshot Date</w:t>
        </w:r>
        <w:r>
          <w:rPr>
            <w:noProof/>
            <w:webHidden/>
          </w:rPr>
          <w:tab/>
        </w:r>
        <w:r>
          <w:rPr>
            <w:noProof/>
            <w:webHidden/>
          </w:rPr>
          <w:fldChar w:fldCharType="begin"/>
        </w:r>
        <w:r>
          <w:rPr>
            <w:noProof/>
            <w:webHidden/>
          </w:rPr>
          <w:instrText xml:space="preserve"> PAGEREF _Toc184637240 \h </w:instrText>
        </w:r>
        <w:r>
          <w:rPr>
            <w:noProof/>
            <w:webHidden/>
          </w:rPr>
        </w:r>
        <w:r>
          <w:rPr>
            <w:noProof/>
            <w:webHidden/>
          </w:rPr>
          <w:fldChar w:fldCharType="separate"/>
        </w:r>
        <w:r w:rsidR="00E5323D">
          <w:rPr>
            <w:noProof/>
            <w:webHidden/>
          </w:rPr>
          <w:t>2</w:t>
        </w:r>
        <w:r>
          <w:rPr>
            <w:noProof/>
            <w:webHidden/>
          </w:rPr>
          <w:fldChar w:fldCharType="end"/>
        </w:r>
      </w:hyperlink>
    </w:p>
    <w:p w14:paraId="276E7E01" w14:textId="0A959812" w:rsidR="00160225" w:rsidRDefault="00160225">
      <w:pPr>
        <w:pStyle w:val="TOC2"/>
        <w:rPr>
          <w:rFonts w:eastAsiaTheme="minorEastAsia"/>
          <w:b w:val="0"/>
          <w:bCs w:val="0"/>
          <w:noProof/>
          <w:kern w:val="2"/>
          <w:sz w:val="24"/>
          <w:szCs w:val="24"/>
          <w:lang w:val="en-GB" w:eastAsia="en-GB"/>
          <w14:ligatures w14:val="standardContextual"/>
        </w:rPr>
      </w:pPr>
      <w:hyperlink w:anchor="_Toc184637241" w:history="1">
        <w:r w:rsidRPr="00F2255D">
          <w:rPr>
            <w:rStyle w:val="Hyperlink"/>
            <w:noProof/>
          </w:rPr>
          <w:t>What is the gender pay gap?</w:t>
        </w:r>
        <w:r>
          <w:rPr>
            <w:noProof/>
            <w:webHidden/>
          </w:rPr>
          <w:tab/>
        </w:r>
        <w:r>
          <w:rPr>
            <w:noProof/>
            <w:webHidden/>
          </w:rPr>
          <w:fldChar w:fldCharType="begin"/>
        </w:r>
        <w:r>
          <w:rPr>
            <w:noProof/>
            <w:webHidden/>
          </w:rPr>
          <w:instrText xml:space="preserve"> PAGEREF _Toc184637241 \h </w:instrText>
        </w:r>
        <w:r>
          <w:rPr>
            <w:noProof/>
            <w:webHidden/>
          </w:rPr>
        </w:r>
        <w:r>
          <w:rPr>
            <w:noProof/>
            <w:webHidden/>
          </w:rPr>
          <w:fldChar w:fldCharType="separate"/>
        </w:r>
        <w:r w:rsidR="00E5323D">
          <w:rPr>
            <w:noProof/>
            <w:webHidden/>
          </w:rPr>
          <w:t>2</w:t>
        </w:r>
        <w:r>
          <w:rPr>
            <w:noProof/>
            <w:webHidden/>
          </w:rPr>
          <w:fldChar w:fldCharType="end"/>
        </w:r>
      </w:hyperlink>
    </w:p>
    <w:p w14:paraId="54E4B69E" w14:textId="6917E8BC" w:rsidR="00160225" w:rsidRDefault="00160225">
      <w:pPr>
        <w:pStyle w:val="TOC2"/>
        <w:rPr>
          <w:rFonts w:eastAsiaTheme="minorEastAsia"/>
          <w:b w:val="0"/>
          <w:bCs w:val="0"/>
          <w:noProof/>
          <w:kern w:val="2"/>
          <w:sz w:val="24"/>
          <w:szCs w:val="24"/>
          <w:lang w:val="en-GB" w:eastAsia="en-GB"/>
          <w14:ligatures w14:val="standardContextual"/>
        </w:rPr>
      </w:pPr>
      <w:hyperlink w:anchor="_Toc184637242" w:history="1">
        <w:r w:rsidRPr="00F2255D">
          <w:rPr>
            <w:rStyle w:val="Hyperlink"/>
            <w:noProof/>
          </w:rPr>
          <w:t>Headcount snapshot in June 2024</w:t>
        </w:r>
        <w:r>
          <w:rPr>
            <w:noProof/>
            <w:webHidden/>
          </w:rPr>
          <w:tab/>
        </w:r>
        <w:r>
          <w:rPr>
            <w:noProof/>
            <w:webHidden/>
          </w:rPr>
          <w:fldChar w:fldCharType="begin"/>
        </w:r>
        <w:r>
          <w:rPr>
            <w:noProof/>
            <w:webHidden/>
          </w:rPr>
          <w:instrText xml:space="preserve"> PAGEREF _Toc184637242 \h </w:instrText>
        </w:r>
        <w:r>
          <w:rPr>
            <w:noProof/>
            <w:webHidden/>
          </w:rPr>
        </w:r>
        <w:r>
          <w:rPr>
            <w:noProof/>
            <w:webHidden/>
          </w:rPr>
          <w:fldChar w:fldCharType="separate"/>
        </w:r>
        <w:r w:rsidR="00E5323D">
          <w:rPr>
            <w:noProof/>
            <w:webHidden/>
          </w:rPr>
          <w:t>2</w:t>
        </w:r>
        <w:r>
          <w:rPr>
            <w:noProof/>
            <w:webHidden/>
          </w:rPr>
          <w:fldChar w:fldCharType="end"/>
        </w:r>
      </w:hyperlink>
    </w:p>
    <w:p w14:paraId="653EA576" w14:textId="207B4A32" w:rsidR="00160225" w:rsidRDefault="00160225">
      <w:pPr>
        <w:pStyle w:val="TOC2"/>
        <w:rPr>
          <w:rFonts w:eastAsiaTheme="minorEastAsia"/>
          <w:b w:val="0"/>
          <w:bCs w:val="0"/>
          <w:noProof/>
          <w:kern w:val="2"/>
          <w:sz w:val="24"/>
          <w:szCs w:val="24"/>
          <w:lang w:val="en-GB" w:eastAsia="en-GB"/>
          <w14:ligatures w14:val="standardContextual"/>
        </w:rPr>
      </w:pPr>
      <w:hyperlink w:anchor="_Toc184637243" w:history="1">
        <w:r w:rsidRPr="00F2255D">
          <w:rPr>
            <w:rStyle w:val="Hyperlink"/>
            <w:noProof/>
          </w:rPr>
          <w:t>Gender Balance in June 2024</w:t>
        </w:r>
        <w:r>
          <w:rPr>
            <w:noProof/>
            <w:webHidden/>
          </w:rPr>
          <w:tab/>
        </w:r>
        <w:r>
          <w:rPr>
            <w:noProof/>
            <w:webHidden/>
          </w:rPr>
          <w:fldChar w:fldCharType="begin"/>
        </w:r>
        <w:r>
          <w:rPr>
            <w:noProof/>
            <w:webHidden/>
          </w:rPr>
          <w:instrText xml:space="preserve"> PAGEREF _Toc184637243 \h </w:instrText>
        </w:r>
        <w:r>
          <w:rPr>
            <w:noProof/>
            <w:webHidden/>
          </w:rPr>
        </w:r>
        <w:r>
          <w:rPr>
            <w:noProof/>
            <w:webHidden/>
          </w:rPr>
          <w:fldChar w:fldCharType="separate"/>
        </w:r>
        <w:r w:rsidR="00E5323D">
          <w:rPr>
            <w:noProof/>
            <w:webHidden/>
          </w:rPr>
          <w:t>2</w:t>
        </w:r>
        <w:r>
          <w:rPr>
            <w:noProof/>
            <w:webHidden/>
          </w:rPr>
          <w:fldChar w:fldCharType="end"/>
        </w:r>
      </w:hyperlink>
    </w:p>
    <w:p w14:paraId="2F5E8672" w14:textId="0571E3E9" w:rsidR="00160225" w:rsidRDefault="00160225">
      <w:pPr>
        <w:pStyle w:val="TOC1"/>
        <w:tabs>
          <w:tab w:val="right" w:leader="dot" w:pos="9016"/>
        </w:tabs>
        <w:rPr>
          <w:rFonts w:asciiTheme="minorHAnsi" w:eastAsiaTheme="minorEastAsia" w:hAnsiTheme="minorHAnsi"/>
          <w:b w:val="0"/>
          <w:bCs w:val="0"/>
          <w:caps w:val="0"/>
          <w:noProof/>
          <w:kern w:val="2"/>
          <w:lang w:val="en-GB" w:eastAsia="en-GB"/>
          <w14:ligatures w14:val="standardContextual"/>
        </w:rPr>
      </w:pPr>
      <w:hyperlink w:anchor="_Toc184637244" w:history="1">
        <w:r w:rsidRPr="00F2255D">
          <w:rPr>
            <w:rStyle w:val="Hyperlink"/>
            <w:noProof/>
          </w:rPr>
          <w:t>Key Findings</w:t>
        </w:r>
        <w:r>
          <w:rPr>
            <w:noProof/>
            <w:webHidden/>
          </w:rPr>
          <w:tab/>
        </w:r>
        <w:r>
          <w:rPr>
            <w:noProof/>
            <w:webHidden/>
          </w:rPr>
          <w:fldChar w:fldCharType="begin"/>
        </w:r>
        <w:r>
          <w:rPr>
            <w:noProof/>
            <w:webHidden/>
          </w:rPr>
          <w:instrText xml:space="preserve"> PAGEREF _Toc184637244 \h </w:instrText>
        </w:r>
        <w:r>
          <w:rPr>
            <w:noProof/>
            <w:webHidden/>
          </w:rPr>
        </w:r>
        <w:r>
          <w:rPr>
            <w:noProof/>
            <w:webHidden/>
          </w:rPr>
          <w:fldChar w:fldCharType="separate"/>
        </w:r>
        <w:r w:rsidR="00E5323D">
          <w:rPr>
            <w:noProof/>
            <w:webHidden/>
          </w:rPr>
          <w:t>3</w:t>
        </w:r>
        <w:r>
          <w:rPr>
            <w:noProof/>
            <w:webHidden/>
          </w:rPr>
          <w:fldChar w:fldCharType="end"/>
        </w:r>
      </w:hyperlink>
    </w:p>
    <w:p w14:paraId="58589070" w14:textId="0792E65A" w:rsidR="00160225" w:rsidRDefault="00160225">
      <w:pPr>
        <w:pStyle w:val="TOC1"/>
        <w:tabs>
          <w:tab w:val="right" w:leader="dot" w:pos="9016"/>
        </w:tabs>
        <w:rPr>
          <w:rFonts w:asciiTheme="minorHAnsi" w:eastAsiaTheme="minorEastAsia" w:hAnsiTheme="minorHAnsi"/>
          <w:b w:val="0"/>
          <w:bCs w:val="0"/>
          <w:caps w:val="0"/>
          <w:noProof/>
          <w:kern w:val="2"/>
          <w:lang w:val="en-GB" w:eastAsia="en-GB"/>
          <w14:ligatures w14:val="standardContextual"/>
        </w:rPr>
      </w:pPr>
      <w:hyperlink w:anchor="_Toc184637245" w:history="1">
        <w:r w:rsidRPr="00F2255D">
          <w:rPr>
            <w:rStyle w:val="Hyperlink"/>
            <w:noProof/>
          </w:rPr>
          <w:t>Conclusion</w:t>
        </w:r>
        <w:r>
          <w:rPr>
            <w:noProof/>
            <w:webHidden/>
          </w:rPr>
          <w:tab/>
        </w:r>
        <w:r>
          <w:rPr>
            <w:noProof/>
            <w:webHidden/>
          </w:rPr>
          <w:fldChar w:fldCharType="begin"/>
        </w:r>
        <w:r>
          <w:rPr>
            <w:noProof/>
            <w:webHidden/>
          </w:rPr>
          <w:instrText xml:space="preserve"> PAGEREF _Toc184637245 \h </w:instrText>
        </w:r>
        <w:r>
          <w:rPr>
            <w:noProof/>
            <w:webHidden/>
          </w:rPr>
        </w:r>
        <w:r>
          <w:rPr>
            <w:noProof/>
            <w:webHidden/>
          </w:rPr>
          <w:fldChar w:fldCharType="separate"/>
        </w:r>
        <w:r w:rsidR="00E5323D">
          <w:rPr>
            <w:noProof/>
            <w:webHidden/>
          </w:rPr>
          <w:t>4</w:t>
        </w:r>
        <w:r>
          <w:rPr>
            <w:noProof/>
            <w:webHidden/>
          </w:rPr>
          <w:fldChar w:fldCharType="end"/>
        </w:r>
      </w:hyperlink>
    </w:p>
    <w:p w14:paraId="58AA0E66" w14:textId="03FFB88C" w:rsidR="00160225" w:rsidRDefault="00160225">
      <w:pPr>
        <w:pStyle w:val="TOC1"/>
        <w:tabs>
          <w:tab w:val="right" w:leader="dot" w:pos="9016"/>
        </w:tabs>
        <w:rPr>
          <w:rFonts w:asciiTheme="minorHAnsi" w:eastAsiaTheme="minorEastAsia" w:hAnsiTheme="minorHAnsi"/>
          <w:b w:val="0"/>
          <w:bCs w:val="0"/>
          <w:caps w:val="0"/>
          <w:noProof/>
          <w:kern w:val="2"/>
          <w:lang w:val="en-GB" w:eastAsia="en-GB"/>
          <w14:ligatures w14:val="standardContextual"/>
        </w:rPr>
      </w:pPr>
      <w:hyperlink w:anchor="_Toc184637246" w:history="1">
        <w:r w:rsidRPr="00F2255D">
          <w:rPr>
            <w:rStyle w:val="Hyperlink"/>
            <w:noProof/>
          </w:rPr>
          <w:t>Actions to address Gender Pay Gap</w:t>
        </w:r>
        <w:r>
          <w:rPr>
            <w:noProof/>
            <w:webHidden/>
          </w:rPr>
          <w:tab/>
        </w:r>
        <w:r>
          <w:rPr>
            <w:noProof/>
            <w:webHidden/>
          </w:rPr>
          <w:fldChar w:fldCharType="begin"/>
        </w:r>
        <w:r>
          <w:rPr>
            <w:noProof/>
            <w:webHidden/>
          </w:rPr>
          <w:instrText xml:space="preserve"> PAGEREF _Toc184637246 \h </w:instrText>
        </w:r>
        <w:r>
          <w:rPr>
            <w:noProof/>
            <w:webHidden/>
          </w:rPr>
        </w:r>
        <w:r>
          <w:rPr>
            <w:noProof/>
            <w:webHidden/>
          </w:rPr>
          <w:fldChar w:fldCharType="separate"/>
        </w:r>
        <w:r w:rsidR="00E5323D">
          <w:rPr>
            <w:noProof/>
            <w:webHidden/>
          </w:rPr>
          <w:t>5</w:t>
        </w:r>
        <w:r>
          <w:rPr>
            <w:noProof/>
            <w:webHidden/>
          </w:rPr>
          <w:fldChar w:fldCharType="end"/>
        </w:r>
      </w:hyperlink>
    </w:p>
    <w:p w14:paraId="773ACA1B" w14:textId="0EF7469C" w:rsidR="00BF6C54" w:rsidRDefault="00BF6C54" w:rsidP="00697656">
      <w:r>
        <w:fldChar w:fldCharType="end"/>
      </w:r>
    </w:p>
    <w:p w14:paraId="0188BA88" w14:textId="77777777" w:rsidR="00BF6C54" w:rsidRDefault="00BF6C54">
      <w:pPr>
        <w:spacing w:after="160" w:line="259" w:lineRule="auto"/>
        <w:jc w:val="left"/>
      </w:pPr>
      <w:r>
        <w:br w:type="page"/>
      </w:r>
    </w:p>
    <w:p w14:paraId="121F7A40" w14:textId="2BDBD216" w:rsidR="00BF6C54" w:rsidRDefault="00F31981" w:rsidP="00687A73">
      <w:pPr>
        <w:pStyle w:val="Title"/>
        <w:spacing w:after="0"/>
      </w:pPr>
      <w:bookmarkStart w:id="2" w:name="_Toc184637237"/>
      <w:r>
        <w:lastRenderedPageBreak/>
        <w:t>Gender Pay Gap Report 2024</w:t>
      </w:r>
      <w:bookmarkEnd w:id="2"/>
    </w:p>
    <w:p w14:paraId="289417E9" w14:textId="05E7AA5D" w:rsidR="00697656" w:rsidRDefault="00F31981" w:rsidP="00697656">
      <w:pPr>
        <w:pStyle w:val="Heading1"/>
        <w:ind w:left="357" w:hanging="357"/>
      </w:pPr>
      <w:bookmarkStart w:id="3" w:name="_Toc184637238"/>
      <w:r>
        <w:t>Introduction</w:t>
      </w:r>
      <w:bookmarkEnd w:id="3"/>
    </w:p>
    <w:p w14:paraId="79A2FF12" w14:textId="05E7AA5D" w:rsidR="002D53A3" w:rsidRDefault="00F31981" w:rsidP="002D53A3">
      <w:pPr>
        <w:pStyle w:val="Heading2"/>
        <w:rPr>
          <w:rFonts w:asciiTheme="minorHAnsi" w:hAnsiTheme="minorHAnsi" w:cstheme="minorHAnsi"/>
          <w:b w:val="0"/>
          <w:bCs/>
          <w:color w:val="auto"/>
          <w:sz w:val="22"/>
          <w:szCs w:val="22"/>
        </w:rPr>
      </w:pPr>
      <w:bookmarkStart w:id="4" w:name="_Toc182928378"/>
      <w:bookmarkStart w:id="5" w:name="_Toc184314084"/>
      <w:bookmarkStart w:id="6" w:name="_Toc184637239"/>
      <w:r>
        <w:rPr>
          <w:rFonts w:asciiTheme="minorHAnsi" w:hAnsiTheme="minorHAnsi" w:cstheme="minorHAnsi"/>
          <w:b w:val="0"/>
          <w:bCs/>
          <w:color w:val="auto"/>
          <w:sz w:val="22"/>
          <w:szCs w:val="22"/>
        </w:rPr>
        <w:t xml:space="preserve">The Director of Public Prosecutions Office </w:t>
      </w:r>
      <w:r w:rsidR="00160225">
        <w:rPr>
          <w:rFonts w:asciiTheme="minorHAnsi" w:hAnsiTheme="minorHAnsi" w:cstheme="minorHAnsi"/>
          <w:b w:val="0"/>
          <w:bCs/>
          <w:color w:val="auto"/>
          <w:sz w:val="22"/>
          <w:szCs w:val="22"/>
        </w:rPr>
        <w:t xml:space="preserve">(ODPP) </w:t>
      </w:r>
      <w:r>
        <w:rPr>
          <w:rFonts w:asciiTheme="minorHAnsi" w:hAnsiTheme="minorHAnsi" w:cstheme="minorHAnsi"/>
          <w:b w:val="0"/>
          <w:bCs/>
          <w:color w:val="auto"/>
          <w:sz w:val="22"/>
          <w:szCs w:val="22"/>
        </w:rPr>
        <w:t>recognises the importance of gender balance and diversity in our organisation.  We are committed to promoting an equal, inclusive and div</w:t>
      </w:r>
      <w:r w:rsidR="002D53A3">
        <w:rPr>
          <w:rFonts w:asciiTheme="minorHAnsi" w:hAnsiTheme="minorHAnsi" w:cstheme="minorHAnsi"/>
          <w:b w:val="0"/>
          <w:bCs/>
          <w:color w:val="auto"/>
          <w:sz w:val="22"/>
          <w:szCs w:val="22"/>
        </w:rPr>
        <w:t>erse workforce.</w:t>
      </w:r>
      <w:bookmarkEnd w:id="4"/>
      <w:bookmarkEnd w:id="5"/>
      <w:bookmarkEnd w:id="6"/>
    </w:p>
    <w:p w14:paraId="14ECA15C" w14:textId="74A69761" w:rsidR="002D53A3" w:rsidRDefault="002D53A3" w:rsidP="002D53A3">
      <w:r>
        <w:t xml:space="preserve">The </w:t>
      </w:r>
      <w:hyperlink r:id="rId13" w:history="1">
        <w:r w:rsidRPr="002D53A3">
          <w:rPr>
            <w:rStyle w:val="Hyperlink"/>
          </w:rPr>
          <w:t>Gender Pay Gap Information Act 2021</w:t>
        </w:r>
      </w:hyperlink>
      <w:r>
        <w:t xml:space="preserve"> introduced the legislative basis for Gender Pay Gap reporting in Ireland.  Regulations under the Act came into operation on 31 May 2022.  All organisations with more than </w:t>
      </w:r>
      <w:r w:rsidR="00185CBE">
        <w:t>1</w:t>
      </w:r>
      <w:r>
        <w:t>50 staff are legally required to submit a Gender Pay Gap Report by the end of each year.</w:t>
      </w:r>
      <w:r w:rsidR="00F70995">
        <w:t xml:space="preserve">  This will reduce to 50 or more employees in 2025.</w:t>
      </w:r>
    </w:p>
    <w:p w14:paraId="47B84209" w14:textId="77777777" w:rsidR="00EB1FF1" w:rsidRDefault="00EB1FF1" w:rsidP="00EB1FF1">
      <w:pPr>
        <w:pStyle w:val="Heading2"/>
        <w:spacing w:after="0"/>
      </w:pPr>
      <w:bookmarkStart w:id="7" w:name="_Toc184637241"/>
      <w:bookmarkStart w:id="8" w:name="_Toc184637240"/>
      <w:r>
        <w:t>What is the gender pay gap?</w:t>
      </w:r>
      <w:bookmarkEnd w:id="7"/>
    </w:p>
    <w:p w14:paraId="02CA3DF9" w14:textId="52213144" w:rsidR="00EB1FF1" w:rsidRDefault="00EB1FF1" w:rsidP="00EB1FF1">
      <w:r>
        <w:t xml:space="preserve">The gender pay gap is the difference in the average hourly rate of pay between females and males expressed as a percentage of the average hourly pay of males in </w:t>
      </w:r>
      <w:r w:rsidR="00B01653">
        <w:t xml:space="preserve">an </w:t>
      </w:r>
      <w:r>
        <w:t xml:space="preserve">organisation.  </w:t>
      </w:r>
      <w:r w:rsidRPr="00BB7D4C">
        <w:t>It compares the pay of all employees based on their gender</w:t>
      </w:r>
      <w:r>
        <w:t xml:space="preserve">. </w:t>
      </w:r>
      <w:r w:rsidRPr="00BB7D4C">
        <w:t xml:space="preserve"> </w:t>
      </w:r>
      <w:r>
        <w:t xml:space="preserve">A </w:t>
      </w:r>
      <w:r w:rsidR="00EA15BA">
        <w:t>negative</w:t>
      </w:r>
      <w:r>
        <w:t xml:space="preserve"> gender pay gap indicates that, on average across all employees, females are in a less favourable position than males.</w:t>
      </w:r>
    </w:p>
    <w:p w14:paraId="54660136" w14:textId="60A294BC" w:rsidR="00697656" w:rsidRDefault="004D4B90" w:rsidP="00EB1FF1">
      <w:pPr>
        <w:pStyle w:val="Heading2"/>
        <w:spacing w:after="0"/>
      </w:pPr>
      <w:r>
        <w:t>Snapshot Date</w:t>
      </w:r>
      <w:bookmarkEnd w:id="8"/>
    </w:p>
    <w:p w14:paraId="3BFE216B" w14:textId="77A19531" w:rsidR="00BF6C54" w:rsidRDefault="002D53A3" w:rsidP="00BF6C54">
      <w:r>
        <w:t xml:space="preserve">The </w:t>
      </w:r>
      <w:r w:rsidR="004D4B90">
        <w:t>last weekly and fortnightly pay period in June 2024 was selected as the snapshot period for Gender Pay Gap reporting.  This was week 25 in 2024, which corresponds to snapshot date 21 June 2024.  The latest submission date for the Gender Pay Gap report is the corresponding date in December 2024.  As the 21 June 202</w:t>
      </w:r>
      <w:r w:rsidR="00A51136">
        <w:t>4</w:t>
      </w:r>
      <w:r w:rsidR="004D4B90">
        <w:t xml:space="preserve"> is the snapshot date, the latest submission date of the report is 21 December 2024.</w:t>
      </w:r>
      <w:r w:rsidR="00B046F5">
        <w:t xml:space="preserve">  The data in the Gender Pay Gap report for 2024 is based solely on data from the </w:t>
      </w:r>
      <w:r w:rsidR="00B45DD1">
        <w:t>payroll</w:t>
      </w:r>
      <w:r w:rsidR="00B046F5">
        <w:t xml:space="preserve"> system from payroll period of Week 26 of 2023 to payroll period Week 25 of 2024.</w:t>
      </w:r>
    </w:p>
    <w:p w14:paraId="4F2839A7" w14:textId="6D7E978C" w:rsidR="007F5480" w:rsidRDefault="00A12343" w:rsidP="007F5480">
      <w:pPr>
        <w:pStyle w:val="Heading2"/>
      </w:pPr>
      <w:bookmarkStart w:id="9" w:name="_Toc184637242"/>
      <w:r>
        <w:t>Headcount snapshot</w:t>
      </w:r>
      <w:r w:rsidR="00466C05">
        <w:t xml:space="preserve"> in June 2024</w:t>
      </w:r>
      <w:bookmarkEnd w:id="9"/>
    </w:p>
    <w:tbl>
      <w:tblPr>
        <w:tblStyle w:val="TableGrid"/>
        <w:tblW w:w="9209" w:type="dxa"/>
        <w:tblLook w:val="04A0" w:firstRow="1" w:lastRow="0" w:firstColumn="1" w:lastColumn="0" w:noHBand="0" w:noVBand="1"/>
      </w:tblPr>
      <w:tblGrid>
        <w:gridCol w:w="1838"/>
        <w:gridCol w:w="1418"/>
        <w:gridCol w:w="708"/>
        <w:gridCol w:w="1418"/>
        <w:gridCol w:w="709"/>
        <w:gridCol w:w="992"/>
        <w:gridCol w:w="709"/>
        <w:gridCol w:w="1417"/>
      </w:tblGrid>
      <w:tr w:rsidR="00911F1A" w14:paraId="4C0345F0" w14:textId="6E996626" w:rsidTr="00911F1A">
        <w:tc>
          <w:tcPr>
            <w:tcW w:w="1838" w:type="dxa"/>
            <w:shd w:val="clear" w:color="auto" w:fill="C5E0B3" w:themeFill="accent6" w:themeFillTint="66"/>
          </w:tcPr>
          <w:p w14:paraId="13AE259B" w14:textId="71D38BC5" w:rsidR="00911F1A" w:rsidRPr="006C0681" w:rsidRDefault="00911F1A" w:rsidP="00160225">
            <w:pPr>
              <w:spacing w:after="0"/>
              <w:jc w:val="left"/>
              <w:rPr>
                <w:b/>
                <w:bCs/>
              </w:rPr>
            </w:pPr>
            <w:r>
              <w:rPr>
                <w:b/>
                <w:bCs/>
              </w:rPr>
              <w:t>Headcount</w:t>
            </w:r>
          </w:p>
        </w:tc>
        <w:tc>
          <w:tcPr>
            <w:tcW w:w="1418" w:type="dxa"/>
            <w:shd w:val="clear" w:color="auto" w:fill="C5E0B3" w:themeFill="accent6" w:themeFillTint="66"/>
          </w:tcPr>
          <w:p w14:paraId="1AE572B8" w14:textId="1DF7E38F" w:rsidR="00911F1A" w:rsidRPr="006C0681" w:rsidRDefault="00911F1A" w:rsidP="00160225">
            <w:pPr>
              <w:spacing w:after="0"/>
              <w:jc w:val="left"/>
              <w:rPr>
                <w:b/>
                <w:bCs/>
              </w:rPr>
            </w:pPr>
            <w:r>
              <w:rPr>
                <w:b/>
                <w:bCs/>
              </w:rPr>
              <w:t>Full-time</w:t>
            </w:r>
            <w:r w:rsidRPr="006C0681">
              <w:rPr>
                <w:b/>
                <w:bCs/>
              </w:rPr>
              <w:t xml:space="preserve"> employees</w:t>
            </w:r>
          </w:p>
        </w:tc>
        <w:tc>
          <w:tcPr>
            <w:tcW w:w="708" w:type="dxa"/>
            <w:shd w:val="clear" w:color="auto" w:fill="C5E0B3" w:themeFill="accent6" w:themeFillTint="66"/>
          </w:tcPr>
          <w:p w14:paraId="1DEDCFBB" w14:textId="1FEDCC81" w:rsidR="00911F1A" w:rsidRPr="00911F1A" w:rsidRDefault="00911F1A" w:rsidP="00911F1A">
            <w:pPr>
              <w:spacing w:after="0"/>
              <w:jc w:val="center"/>
              <w:rPr>
                <w:b/>
                <w:bCs/>
              </w:rPr>
            </w:pPr>
            <w:r w:rsidRPr="00911F1A">
              <w:rPr>
                <w:b/>
                <w:bCs/>
              </w:rPr>
              <w:t>%</w:t>
            </w:r>
          </w:p>
        </w:tc>
        <w:tc>
          <w:tcPr>
            <w:tcW w:w="1418" w:type="dxa"/>
            <w:shd w:val="clear" w:color="auto" w:fill="C5E0B3" w:themeFill="accent6" w:themeFillTint="66"/>
          </w:tcPr>
          <w:p w14:paraId="6F6ECB4B" w14:textId="7DF793CB" w:rsidR="00911F1A" w:rsidRPr="006C0681" w:rsidRDefault="00911F1A" w:rsidP="00160225">
            <w:pPr>
              <w:spacing w:after="0"/>
              <w:jc w:val="left"/>
              <w:rPr>
                <w:b/>
                <w:bCs/>
              </w:rPr>
            </w:pPr>
            <w:r>
              <w:rPr>
                <w:b/>
                <w:bCs/>
              </w:rPr>
              <w:t>Part-time employees</w:t>
            </w:r>
          </w:p>
        </w:tc>
        <w:tc>
          <w:tcPr>
            <w:tcW w:w="709" w:type="dxa"/>
            <w:shd w:val="clear" w:color="auto" w:fill="C5E0B3" w:themeFill="accent6" w:themeFillTint="66"/>
          </w:tcPr>
          <w:p w14:paraId="07C4C6FA" w14:textId="00CB435D" w:rsidR="00911F1A" w:rsidRDefault="00911F1A" w:rsidP="00911F1A">
            <w:pPr>
              <w:spacing w:after="0"/>
              <w:jc w:val="center"/>
              <w:rPr>
                <w:b/>
                <w:bCs/>
              </w:rPr>
            </w:pPr>
            <w:r>
              <w:rPr>
                <w:b/>
                <w:bCs/>
              </w:rPr>
              <w:t>%</w:t>
            </w:r>
          </w:p>
        </w:tc>
        <w:tc>
          <w:tcPr>
            <w:tcW w:w="992" w:type="dxa"/>
            <w:shd w:val="clear" w:color="auto" w:fill="C5E0B3" w:themeFill="accent6" w:themeFillTint="66"/>
          </w:tcPr>
          <w:p w14:paraId="0879DCE8" w14:textId="1627967C" w:rsidR="00911F1A" w:rsidRPr="006C0681" w:rsidRDefault="00911F1A" w:rsidP="00160225">
            <w:pPr>
              <w:spacing w:after="0"/>
              <w:jc w:val="left"/>
              <w:rPr>
                <w:b/>
                <w:bCs/>
              </w:rPr>
            </w:pPr>
            <w:r>
              <w:rPr>
                <w:b/>
                <w:bCs/>
              </w:rPr>
              <w:t>Total</w:t>
            </w:r>
          </w:p>
        </w:tc>
        <w:tc>
          <w:tcPr>
            <w:tcW w:w="709" w:type="dxa"/>
            <w:shd w:val="clear" w:color="auto" w:fill="C5E0B3" w:themeFill="accent6" w:themeFillTint="66"/>
          </w:tcPr>
          <w:p w14:paraId="3DE403D1" w14:textId="10E3F9BD" w:rsidR="00911F1A" w:rsidRDefault="00911F1A" w:rsidP="00911F1A">
            <w:pPr>
              <w:spacing w:after="0"/>
              <w:jc w:val="center"/>
              <w:rPr>
                <w:b/>
                <w:bCs/>
              </w:rPr>
            </w:pPr>
            <w:r>
              <w:rPr>
                <w:b/>
                <w:bCs/>
              </w:rPr>
              <w:t>%</w:t>
            </w:r>
          </w:p>
        </w:tc>
        <w:tc>
          <w:tcPr>
            <w:tcW w:w="1417" w:type="dxa"/>
            <w:shd w:val="clear" w:color="auto" w:fill="C5E0B3" w:themeFill="accent6" w:themeFillTint="66"/>
          </w:tcPr>
          <w:p w14:paraId="461C700C" w14:textId="041893A0" w:rsidR="00911F1A" w:rsidRPr="006C0681" w:rsidRDefault="00911F1A" w:rsidP="00160225">
            <w:pPr>
              <w:spacing w:after="0"/>
              <w:jc w:val="left"/>
              <w:rPr>
                <w:b/>
                <w:bCs/>
              </w:rPr>
            </w:pPr>
            <w:r>
              <w:rPr>
                <w:b/>
                <w:bCs/>
              </w:rPr>
              <w:t>Of whom are temporary</w:t>
            </w:r>
          </w:p>
        </w:tc>
      </w:tr>
      <w:tr w:rsidR="00911F1A" w14:paraId="661801B5" w14:textId="65CF77D2" w:rsidTr="00911F1A">
        <w:tc>
          <w:tcPr>
            <w:tcW w:w="1838" w:type="dxa"/>
            <w:shd w:val="clear" w:color="auto" w:fill="auto"/>
          </w:tcPr>
          <w:p w14:paraId="349EF044" w14:textId="77777777" w:rsidR="00911F1A" w:rsidRDefault="00911F1A" w:rsidP="00160225">
            <w:pPr>
              <w:spacing w:after="0"/>
              <w:jc w:val="left"/>
            </w:pPr>
            <w:r>
              <w:t>Female</w:t>
            </w:r>
          </w:p>
        </w:tc>
        <w:tc>
          <w:tcPr>
            <w:tcW w:w="1418" w:type="dxa"/>
            <w:shd w:val="clear" w:color="auto" w:fill="auto"/>
          </w:tcPr>
          <w:p w14:paraId="50741FA4" w14:textId="21BB7699" w:rsidR="00911F1A" w:rsidRDefault="00911F1A" w:rsidP="00911F1A">
            <w:pPr>
              <w:spacing w:after="0"/>
              <w:jc w:val="center"/>
            </w:pPr>
            <w:r>
              <w:t>127</w:t>
            </w:r>
          </w:p>
        </w:tc>
        <w:tc>
          <w:tcPr>
            <w:tcW w:w="708" w:type="dxa"/>
          </w:tcPr>
          <w:p w14:paraId="06C5CB5F" w14:textId="46D72F25" w:rsidR="00911F1A" w:rsidRDefault="00911F1A" w:rsidP="00160225">
            <w:pPr>
              <w:spacing w:after="0"/>
              <w:jc w:val="left"/>
            </w:pPr>
            <w:r>
              <w:t>57%</w:t>
            </w:r>
          </w:p>
        </w:tc>
        <w:tc>
          <w:tcPr>
            <w:tcW w:w="1418" w:type="dxa"/>
            <w:shd w:val="clear" w:color="auto" w:fill="auto"/>
          </w:tcPr>
          <w:p w14:paraId="11EEC699" w14:textId="4746EB83" w:rsidR="00911F1A" w:rsidRDefault="00911F1A" w:rsidP="00911F1A">
            <w:pPr>
              <w:spacing w:after="0"/>
              <w:jc w:val="center"/>
            </w:pPr>
            <w:r>
              <w:t>51</w:t>
            </w:r>
          </w:p>
        </w:tc>
        <w:tc>
          <w:tcPr>
            <w:tcW w:w="709" w:type="dxa"/>
          </w:tcPr>
          <w:p w14:paraId="0785D56F" w14:textId="52571B4F" w:rsidR="00911F1A" w:rsidRDefault="00911F1A" w:rsidP="00160225">
            <w:pPr>
              <w:spacing w:after="0"/>
              <w:jc w:val="left"/>
            </w:pPr>
            <w:r>
              <w:t>88%</w:t>
            </w:r>
          </w:p>
        </w:tc>
        <w:tc>
          <w:tcPr>
            <w:tcW w:w="992" w:type="dxa"/>
            <w:shd w:val="clear" w:color="auto" w:fill="auto"/>
          </w:tcPr>
          <w:p w14:paraId="1045A444" w14:textId="23121394" w:rsidR="00911F1A" w:rsidRDefault="00911F1A" w:rsidP="00911F1A">
            <w:pPr>
              <w:spacing w:after="0"/>
              <w:jc w:val="center"/>
            </w:pPr>
            <w:r>
              <w:t>178</w:t>
            </w:r>
          </w:p>
        </w:tc>
        <w:tc>
          <w:tcPr>
            <w:tcW w:w="709" w:type="dxa"/>
          </w:tcPr>
          <w:p w14:paraId="3467C448" w14:textId="6DF7F4B8" w:rsidR="00911F1A" w:rsidRDefault="00911F1A" w:rsidP="00160225">
            <w:pPr>
              <w:spacing w:after="0"/>
              <w:jc w:val="left"/>
            </w:pPr>
            <w:r>
              <w:t>64%</w:t>
            </w:r>
          </w:p>
        </w:tc>
        <w:tc>
          <w:tcPr>
            <w:tcW w:w="1417" w:type="dxa"/>
            <w:shd w:val="clear" w:color="auto" w:fill="auto"/>
          </w:tcPr>
          <w:p w14:paraId="5ABB7F85" w14:textId="6F734695" w:rsidR="00911F1A" w:rsidRDefault="00911F1A" w:rsidP="00911F1A">
            <w:pPr>
              <w:spacing w:after="0"/>
              <w:jc w:val="center"/>
            </w:pPr>
            <w:r>
              <w:t>1</w:t>
            </w:r>
          </w:p>
        </w:tc>
      </w:tr>
      <w:tr w:rsidR="00911F1A" w14:paraId="56676DA4" w14:textId="73618DC9" w:rsidTr="00911F1A">
        <w:tc>
          <w:tcPr>
            <w:tcW w:w="1838" w:type="dxa"/>
            <w:shd w:val="clear" w:color="auto" w:fill="auto"/>
          </w:tcPr>
          <w:p w14:paraId="42066847" w14:textId="77777777" w:rsidR="00911F1A" w:rsidRDefault="00911F1A" w:rsidP="00160225">
            <w:pPr>
              <w:spacing w:after="0"/>
              <w:jc w:val="left"/>
            </w:pPr>
            <w:r>
              <w:t>Male</w:t>
            </w:r>
          </w:p>
        </w:tc>
        <w:tc>
          <w:tcPr>
            <w:tcW w:w="1418" w:type="dxa"/>
            <w:shd w:val="clear" w:color="auto" w:fill="auto"/>
          </w:tcPr>
          <w:p w14:paraId="0ADB3860" w14:textId="4A155442" w:rsidR="00911F1A" w:rsidRDefault="00911F1A" w:rsidP="00911F1A">
            <w:pPr>
              <w:spacing w:after="0"/>
              <w:jc w:val="center"/>
            </w:pPr>
            <w:r>
              <w:t>95</w:t>
            </w:r>
          </w:p>
        </w:tc>
        <w:tc>
          <w:tcPr>
            <w:tcW w:w="708" w:type="dxa"/>
          </w:tcPr>
          <w:p w14:paraId="42391F38" w14:textId="14343DE3" w:rsidR="00911F1A" w:rsidRDefault="00911F1A" w:rsidP="00160225">
            <w:pPr>
              <w:spacing w:after="0"/>
              <w:jc w:val="left"/>
            </w:pPr>
            <w:r>
              <w:t>43%</w:t>
            </w:r>
          </w:p>
        </w:tc>
        <w:tc>
          <w:tcPr>
            <w:tcW w:w="1418" w:type="dxa"/>
            <w:shd w:val="clear" w:color="auto" w:fill="auto"/>
          </w:tcPr>
          <w:p w14:paraId="170E606B" w14:textId="6D17B9A0" w:rsidR="00911F1A" w:rsidRDefault="00911F1A" w:rsidP="00911F1A">
            <w:pPr>
              <w:spacing w:after="0"/>
              <w:jc w:val="center"/>
            </w:pPr>
            <w:r>
              <w:t>7</w:t>
            </w:r>
          </w:p>
        </w:tc>
        <w:tc>
          <w:tcPr>
            <w:tcW w:w="709" w:type="dxa"/>
          </w:tcPr>
          <w:p w14:paraId="6F5F584F" w14:textId="17D33668" w:rsidR="00911F1A" w:rsidRDefault="00911F1A" w:rsidP="00160225">
            <w:pPr>
              <w:spacing w:after="0"/>
              <w:jc w:val="left"/>
            </w:pPr>
            <w:r>
              <w:t>12%</w:t>
            </w:r>
          </w:p>
        </w:tc>
        <w:tc>
          <w:tcPr>
            <w:tcW w:w="992" w:type="dxa"/>
            <w:shd w:val="clear" w:color="auto" w:fill="auto"/>
          </w:tcPr>
          <w:p w14:paraId="1D959C6D" w14:textId="3459AD6F" w:rsidR="00911F1A" w:rsidRDefault="00911F1A" w:rsidP="00911F1A">
            <w:pPr>
              <w:spacing w:after="0"/>
              <w:jc w:val="center"/>
            </w:pPr>
            <w:r>
              <w:t>102</w:t>
            </w:r>
          </w:p>
        </w:tc>
        <w:tc>
          <w:tcPr>
            <w:tcW w:w="709" w:type="dxa"/>
          </w:tcPr>
          <w:p w14:paraId="6F5983A3" w14:textId="6D583E51" w:rsidR="00911F1A" w:rsidRDefault="00911F1A" w:rsidP="00160225">
            <w:pPr>
              <w:spacing w:after="0"/>
              <w:jc w:val="left"/>
            </w:pPr>
            <w:r>
              <w:t>36%</w:t>
            </w:r>
          </w:p>
        </w:tc>
        <w:tc>
          <w:tcPr>
            <w:tcW w:w="1417" w:type="dxa"/>
            <w:shd w:val="clear" w:color="auto" w:fill="auto"/>
          </w:tcPr>
          <w:p w14:paraId="0F9EB3E1" w14:textId="0BE1C544" w:rsidR="00911F1A" w:rsidRDefault="00911F1A" w:rsidP="00911F1A">
            <w:pPr>
              <w:spacing w:after="0"/>
              <w:jc w:val="center"/>
            </w:pPr>
            <w:r>
              <w:t>2</w:t>
            </w:r>
          </w:p>
        </w:tc>
      </w:tr>
      <w:tr w:rsidR="00911F1A" w14:paraId="7F5B1631" w14:textId="2DF0CC90" w:rsidTr="00911F1A">
        <w:tc>
          <w:tcPr>
            <w:tcW w:w="1838" w:type="dxa"/>
            <w:shd w:val="clear" w:color="auto" w:fill="E2EFD9" w:themeFill="accent6" w:themeFillTint="33"/>
          </w:tcPr>
          <w:p w14:paraId="58E6218A" w14:textId="77777777" w:rsidR="00911F1A" w:rsidRPr="00160225" w:rsidRDefault="00911F1A" w:rsidP="00160225">
            <w:pPr>
              <w:spacing w:after="0"/>
              <w:jc w:val="left"/>
              <w:rPr>
                <w:b/>
                <w:bCs/>
              </w:rPr>
            </w:pPr>
            <w:r w:rsidRPr="00160225">
              <w:rPr>
                <w:b/>
                <w:bCs/>
              </w:rPr>
              <w:t>Total</w:t>
            </w:r>
          </w:p>
        </w:tc>
        <w:tc>
          <w:tcPr>
            <w:tcW w:w="1418" w:type="dxa"/>
            <w:shd w:val="clear" w:color="auto" w:fill="E2EFD9" w:themeFill="accent6" w:themeFillTint="33"/>
          </w:tcPr>
          <w:p w14:paraId="0FA199BB" w14:textId="3909A85E" w:rsidR="00911F1A" w:rsidRPr="00160225" w:rsidRDefault="00911F1A" w:rsidP="00911F1A">
            <w:pPr>
              <w:spacing w:after="0"/>
              <w:jc w:val="center"/>
              <w:rPr>
                <w:b/>
                <w:bCs/>
              </w:rPr>
            </w:pPr>
            <w:r w:rsidRPr="00160225">
              <w:rPr>
                <w:b/>
                <w:bCs/>
              </w:rPr>
              <w:t>222</w:t>
            </w:r>
          </w:p>
        </w:tc>
        <w:tc>
          <w:tcPr>
            <w:tcW w:w="708" w:type="dxa"/>
            <w:shd w:val="clear" w:color="auto" w:fill="E2EFD9" w:themeFill="accent6" w:themeFillTint="33"/>
          </w:tcPr>
          <w:p w14:paraId="6334CB55" w14:textId="77777777" w:rsidR="00911F1A" w:rsidRPr="00160225" w:rsidRDefault="00911F1A" w:rsidP="00160225">
            <w:pPr>
              <w:spacing w:after="0"/>
              <w:jc w:val="left"/>
              <w:rPr>
                <w:b/>
                <w:bCs/>
              </w:rPr>
            </w:pPr>
          </w:p>
        </w:tc>
        <w:tc>
          <w:tcPr>
            <w:tcW w:w="1418" w:type="dxa"/>
            <w:shd w:val="clear" w:color="auto" w:fill="E2EFD9" w:themeFill="accent6" w:themeFillTint="33"/>
          </w:tcPr>
          <w:p w14:paraId="4593524E" w14:textId="246F76FF" w:rsidR="00911F1A" w:rsidRPr="00160225" w:rsidRDefault="00911F1A" w:rsidP="00911F1A">
            <w:pPr>
              <w:spacing w:after="0"/>
              <w:jc w:val="center"/>
              <w:rPr>
                <w:b/>
                <w:bCs/>
              </w:rPr>
            </w:pPr>
            <w:r w:rsidRPr="00160225">
              <w:rPr>
                <w:b/>
                <w:bCs/>
              </w:rPr>
              <w:t>58</w:t>
            </w:r>
          </w:p>
        </w:tc>
        <w:tc>
          <w:tcPr>
            <w:tcW w:w="709" w:type="dxa"/>
            <w:shd w:val="clear" w:color="auto" w:fill="E2EFD9" w:themeFill="accent6" w:themeFillTint="33"/>
          </w:tcPr>
          <w:p w14:paraId="1D71CC43" w14:textId="77777777" w:rsidR="00911F1A" w:rsidRPr="00160225" w:rsidRDefault="00911F1A" w:rsidP="00160225">
            <w:pPr>
              <w:spacing w:after="0"/>
              <w:jc w:val="left"/>
              <w:rPr>
                <w:b/>
                <w:bCs/>
              </w:rPr>
            </w:pPr>
          </w:p>
        </w:tc>
        <w:tc>
          <w:tcPr>
            <w:tcW w:w="992" w:type="dxa"/>
            <w:shd w:val="clear" w:color="auto" w:fill="E2EFD9" w:themeFill="accent6" w:themeFillTint="33"/>
          </w:tcPr>
          <w:p w14:paraId="3FC95D17" w14:textId="37CBB880" w:rsidR="00911F1A" w:rsidRPr="00160225" w:rsidRDefault="00911F1A" w:rsidP="00911F1A">
            <w:pPr>
              <w:spacing w:after="0"/>
              <w:jc w:val="center"/>
              <w:rPr>
                <w:b/>
                <w:bCs/>
              </w:rPr>
            </w:pPr>
            <w:r w:rsidRPr="00160225">
              <w:rPr>
                <w:b/>
                <w:bCs/>
              </w:rPr>
              <w:t>280</w:t>
            </w:r>
          </w:p>
        </w:tc>
        <w:tc>
          <w:tcPr>
            <w:tcW w:w="709" w:type="dxa"/>
            <w:shd w:val="clear" w:color="auto" w:fill="E2EFD9" w:themeFill="accent6" w:themeFillTint="33"/>
          </w:tcPr>
          <w:p w14:paraId="44FC58F7" w14:textId="77777777" w:rsidR="00911F1A" w:rsidRPr="00160225" w:rsidRDefault="00911F1A" w:rsidP="00160225">
            <w:pPr>
              <w:spacing w:after="0"/>
              <w:jc w:val="left"/>
              <w:rPr>
                <w:b/>
                <w:bCs/>
              </w:rPr>
            </w:pPr>
          </w:p>
        </w:tc>
        <w:tc>
          <w:tcPr>
            <w:tcW w:w="1417" w:type="dxa"/>
            <w:shd w:val="clear" w:color="auto" w:fill="E2EFD9" w:themeFill="accent6" w:themeFillTint="33"/>
          </w:tcPr>
          <w:p w14:paraId="2B0524A2" w14:textId="581BFE6C" w:rsidR="00911F1A" w:rsidRPr="00160225" w:rsidRDefault="00911F1A" w:rsidP="00911F1A">
            <w:pPr>
              <w:spacing w:after="0"/>
              <w:jc w:val="center"/>
              <w:rPr>
                <w:b/>
                <w:bCs/>
              </w:rPr>
            </w:pPr>
            <w:r w:rsidRPr="00160225">
              <w:rPr>
                <w:b/>
                <w:bCs/>
              </w:rPr>
              <w:t>3</w:t>
            </w:r>
          </w:p>
        </w:tc>
      </w:tr>
    </w:tbl>
    <w:p w14:paraId="0297C6B1" w14:textId="77777777" w:rsidR="006C0681" w:rsidRDefault="006C0681" w:rsidP="00687A73">
      <w:pPr>
        <w:spacing w:after="0"/>
      </w:pPr>
    </w:p>
    <w:p w14:paraId="66F553D2" w14:textId="77777777" w:rsidR="00B01653" w:rsidRDefault="00B01653" w:rsidP="00687A73">
      <w:pPr>
        <w:spacing w:after="0"/>
      </w:pPr>
    </w:p>
    <w:p w14:paraId="275DBE74" w14:textId="698CE7D8" w:rsidR="00A12343" w:rsidRDefault="00A12343" w:rsidP="00EB1FF1">
      <w:pPr>
        <w:pStyle w:val="Heading2"/>
        <w:spacing w:after="0"/>
      </w:pPr>
      <w:bookmarkStart w:id="10" w:name="_Toc184637243"/>
      <w:r>
        <w:t>Gender Balance in June 2024</w:t>
      </w:r>
      <w:bookmarkEnd w:id="10"/>
    </w:p>
    <w:p w14:paraId="23447318" w14:textId="1400203C" w:rsidR="00687A73" w:rsidRDefault="00687A73" w:rsidP="00687A73">
      <w:pPr>
        <w:jc w:val="center"/>
      </w:pPr>
      <w:r>
        <w:rPr>
          <w:noProof/>
        </w:rPr>
        <w:drawing>
          <wp:inline distT="0" distB="0" distL="0" distR="0" wp14:anchorId="63E16055" wp14:editId="08FC429C">
            <wp:extent cx="1752600" cy="2118360"/>
            <wp:effectExtent l="0" t="0" r="0" b="15240"/>
            <wp:docPr id="104449971" name="Chart 1">
              <a:extLst xmlns:a="http://schemas.openxmlformats.org/drawingml/2006/main">
                <a:ext uri="{FF2B5EF4-FFF2-40B4-BE49-F238E27FC236}">
                  <a16:creationId xmlns:a16="http://schemas.microsoft.com/office/drawing/2014/main" id="{2ED43E33-1A54-DE01-60E8-DF0EA9D0AF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F5CFDB" w14:textId="2EA0AA75" w:rsidR="00687A73" w:rsidRDefault="009F17D6" w:rsidP="00687A73">
      <w:pPr>
        <w:jc w:val="center"/>
      </w:pPr>
      <w:r>
        <w:rPr>
          <w:noProof/>
        </w:rPr>
        <w:lastRenderedPageBreak/>
        <w:drawing>
          <wp:inline distT="0" distB="0" distL="0" distR="0" wp14:anchorId="64B828E9" wp14:editId="2B6789EC">
            <wp:extent cx="2019300" cy="2118360"/>
            <wp:effectExtent l="0" t="0" r="0" b="15240"/>
            <wp:docPr id="1004662855" name="Chart 5">
              <a:extLst xmlns:a="http://schemas.openxmlformats.org/drawingml/2006/main">
                <a:ext uri="{FF2B5EF4-FFF2-40B4-BE49-F238E27FC236}">
                  <a16:creationId xmlns:a16="http://schemas.microsoft.com/office/drawing/2014/main" id="{5E38CD0A-95D7-3A35-A6AC-B44E10135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214C0">
        <w:rPr>
          <w:noProof/>
        </w:rPr>
        <w:drawing>
          <wp:inline distT="0" distB="0" distL="0" distR="0" wp14:anchorId="5DC403B2" wp14:editId="1BE5F771">
            <wp:extent cx="1828800" cy="2125980"/>
            <wp:effectExtent l="0" t="0" r="0" b="7620"/>
            <wp:docPr id="1089918264" name="Chart 2">
              <a:extLst xmlns:a="http://schemas.openxmlformats.org/drawingml/2006/main">
                <a:ext uri="{FF2B5EF4-FFF2-40B4-BE49-F238E27FC236}">
                  <a16:creationId xmlns:a16="http://schemas.microsoft.com/office/drawing/2014/main" id="{662A6FDB-852C-3C64-D019-965231EF5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214C0">
        <w:rPr>
          <w:noProof/>
        </w:rPr>
        <w:drawing>
          <wp:inline distT="0" distB="0" distL="0" distR="0" wp14:anchorId="14F5AF64" wp14:editId="50941BB5">
            <wp:extent cx="1874520" cy="2118360"/>
            <wp:effectExtent l="0" t="0" r="11430" b="15240"/>
            <wp:docPr id="723862774" name="Chart 3">
              <a:extLst xmlns:a="http://schemas.openxmlformats.org/drawingml/2006/main">
                <a:ext uri="{FF2B5EF4-FFF2-40B4-BE49-F238E27FC236}">
                  <a16:creationId xmlns:a16="http://schemas.microsoft.com/office/drawing/2014/main" id="{9CBE2215-955A-0D6B-FF40-2C091D9B6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05FFC8" w14:textId="5A4BAB41" w:rsidR="00590184" w:rsidRDefault="006214C0" w:rsidP="00687A73">
      <w:pPr>
        <w:jc w:val="center"/>
      </w:pPr>
      <w:r>
        <w:rPr>
          <w:noProof/>
        </w:rPr>
        <w:drawing>
          <wp:inline distT="0" distB="0" distL="0" distR="0" wp14:anchorId="79C9196F" wp14:editId="4FA751ED">
            <wp:extent cx="2118360" cy="2171700"/>
            <wp:effectExtent l="0" t="0" r="15240" b="0"/>
            <wp:docPr id="1948237781" name="Chart 4">
              <a:extLst xmlns:a="http://schemas.openxmlformats.org/drawingml/2006/main">
                <a:ext uri="{FF2B5EF4-FFF2-40B4-BE49-F238E27FC236}">
                  <a16:creationId xmlns:a16="http://schemas.microsoft.com/office/drawing/2014/main" id="{823F2FAB-FC9E-1FDA-5BA9-E0C5245B3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14:anchorId="1730D477" wp14:editId="16C99D61">
            <wp:extent cx="1882140" cy="2171700"/>
            <wp:effectExtent l="0" t="0" r="3810" b="0"/>
            <wp:docPr id="1784476763" name="Chart 5">
              <a:extLst xmlns:a="http://schemas.openxmlformats.org/drawingml/2006/main">
                <a:ext uri="{FF2B5EF4-FFF2-40B4-BE49-F238E27FC236}">
                  <a16:creationId xmlns:a16="http://schemas.microsoft.com/office/drawing/2014/main" id="{5E38CD0A-95D7-3A35-A6AC-B44E10135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6F4BFF41" wp14:editId="5FCB41B9">
            <wp:extent cx="1783080" cy="2171700"/>
            <wp:effectExtent l="0" t="0" r="7620" b="0"/>
            <wp:docPr id="1550561266" name="Chart 6">
              <a:extLst xmlns:a="http://schemas.openxmlformats.org/drawingml/2006/main">
                <a:ext uri="{FF2B5EF4-FFF2-40B4-BE49-F238E27FC236}">
                  <a16:creationId xmlns:a16="http://schemas.microsoft.com/office/drawing/2014/main" id="{90D3206A-280F-AF3E-4869-23F931209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CE6009" w14:textId="54422DA8" w:rsidR="00687A73" w:rsidRDefault="00687A73" w:rsidP="00B01653">
      <w:pPr>
        <w:spacing w:after="0"/>
        <w:jc w:val="center"/>
      </w:pPr>
    </w:p>
    <w:p w14:paraId="29817B9C" w14:textId="77777777" w:rsidR="00466C05" w:rsidRDefault="00466C05" w:rsidP="006E4C0C">
      <w:pPr>
        <w:pStyle w:val="Heading1"/>
      </w:pPr>
      <w:bookmarkStart w:id="11" w:name="_Toc184637244"/>
      <w:r>
        <w:t>Key Findings</w:t>
      </w:r>
      <w:bookmarkEnd w:id="11"/>
    </w:p>
    <w:p w14:paraId="279C2673" w14:textId="77777777" w:rsidR="00E2251D" w:rsidRDefault="00BC62CE" w:rsidP="00466C05">
      <w:r>
        <w:t xml:space="preserve">This report provides the summary </w:t>
      </w:r>
      <w:r w:rsidRPr="00160225">
        <w:rPr>
          <w:i/>
          <w:iCs/>
        </w:rPr>
        <w:t>Gender Pay Gap information</w:t>
      </w:r>
      <w:r>
        <w:t xml:space="preserve">. </w:t>
      </w:r>
    </w:p>
    <w:p w14:paraId="21A56D1B" w14:textId="77777777" w:rsidR="00B01653" w:rsidRDefault="000D2473" w:rsidP="00466C05">
      <w:r>
        <w:t xml:space="preserve">The average (Mean) </w:t>
      </w:r>
      <w:r w:rsidRPr="00160225">
        <w:rPr>
          <w:i/>
          <w:iCs/>
        </w:rPr>
        <w:t>Gender Pay Gap %</w:t>
      </w:r>
      <w:r>
        <w:t xml:space="preserve"> is based on the following calculations: </w:t>
      </w:r>
    </w:p>
    <w:p w14:paraId="4DCB6FB5" w14:textId="77777777" w:rsidR="00B01653" w:rsidRPr="00B01653" w:rsidRDefault="000D2473" w:rsidP="00B01653">
      <w:pPr>
        <w:ind w:left="720"/>
        <w:rPr>
          <w:i/>
          <w:iCs/>
        </w:rPr>
      </w:pPr>
      <w:r w:rsidRPr="00B01653">
        <w:rPr>
          <w:i/>
          <w:iCs/>
        </w:rPr>
        <w:t xml:space="preserve">the difference between the average hourly rate paid to males </w:t>
      </w:r>
      <w:r w:rsidR="00E2251D" w:rsidRPr="00B01653">
        <w:rPr>
          <w:i/>
          <w:iCs/>
        </w:rPr>
        <w:t xml:space="preserve">and the average hourly rate paid to females expressed as a percentage of the average hourly rate paid to males.  </w:t>
      </w:r>
    </w:p>
    <w:p w14:paraId="676FCD90" w14:textId="651029C2" w:rsidR="00466C05" w:rsidRDefault="00466C05" w:rsidP="00B01653">
      <w:r>
        <w:t xml:space="preserve">The </w:t>
      </w:r>
      <w:r w:rsidR="00A12343">
        <w:t xml:space="preserve">mean gender pay gap for the Office indicates that, on average, men are paid </w:t>
      </w:r>
      <w:r w:rsidR="00461DCA">
        <w:t>4</w:t>
      </w:r>
      <w:r w:rsidR="00A12343">
        <w:t>.</w:t>
      </w:r>
      <w:r w:rsidR="00BD23D3">
        <w:t>8</w:t>
      </w:r>
      <w:r w:rsidR="00461DCA">
        <w:t>3</w:t>
      </w:r>
      <w:r w:rsidR="00A12343">
        <w:t>% higher than women.</w:t>
      </w:r>
      <w:r w:rsidR="00660B2F">
        <w:t xml:space="preserve">  All our employees are Civil Servants which has equal pay for men and women in the same grades.</w:t>
      </w:r>
      <w:r w:rsidR="000D2473">
        <w:t xml:space="preserve">  </w:t>
      </w:r>
    </w:p>
    <w:p w14:paraId="571E997E" w14:textId="77777777" w:rsidR="00B01653" w:rsidRDefault="00E2251D" w:rsidP="00466C05">
      <w:r>
        <w:t xml:space="preserve">The </w:t>
      </w:r>
      <w:r w:rsidRPr="00160225">
        <w:rPr>
          <w:i/>
          <w:iCs/>
        </w:rPr>
        <w:t>Median Gender Pay Gap</w:t>
      </w:r>
      <w:r>
        <w:t xml:space="preserve"> </w:t>
      </w:r>
      <w:r w:rsidR="00461DCA">
        <w:t>7.72</w:t>
      </w:r>
      <w:r>
        <w:t>% is based on the following calculation</w:t>
      </w:r>
      <w:r w:rsidR="00B01653">
        <w:t xml:space="preserve">: </w:t>
      </w:r>
    </w:p>
    <w:p w14:paraId="2698E46D" w14:textId="4F20B773" w:rsidR="00E2251D" w:rsidRPr="00B01653" w:rsidRDefault="00E2251D" w:rsidP="00B01653">
      <w:pPr>
        <w:ind w:left="720"/>
        <w:rPr>
          <w:i/>
          <w:iCs/>
        </w:rPr>
      </w:pPr>
      <w:r w:rsidRPr="00B01653">
        <w:rPr>
          <w:i/>
          <w:iCs/>
        </w:rPr>
        <w:t>the difference between the median hourly rate paid to males and the median hourly rate paid to females expressed as a percentage of the median hourly rate paid to males.</w:t>
      </w:r>
    </w:p>
    <w:tbl>
      <w:tblPr>
        <w:tblStyle w:val="TableGrid"/>
        <w:tblW w:w="0" w:type="auto"/>
        <w:tblLook w:val="04A0" w:firstRow="1" w:lastRow="0" w:firstColumn="1" w:lastColumn="0" w:noHBand="0" w:noVBand="1"/>
      </w:tblPr>
      <w:tblGrid>
        <w:gridCol w:w="1413"/>
        <w:gridCol w:w="1843"/>
        <w:gridCol w:w="1417"/>
        <w:gridCol w:w="2126"/>
        <w:gridCol w:w="2217"/>
      </w:tblGrid>
      <w:tr w:rsidR="006C0681" w14:paraId="358D823C" w14:textId="77777777" w:rsidTr="00B01653">
        <w:tc>
          <w:tcPr>
            <w:tcW w:w="1413" w:type="dxa"/>
            <w:shd w:val="clear" w:color="auto" w:fill="C5E0B3" w:themeFill="accent6" w:themeFillTint="66"/>
          </w:tcPr>
          <w:p w14:paraId="023924AB" w14:textId="31EEB1FE" w:rsidR="006C0681" w:rsidRPr="006C0681" w:rsidRDefault="006C0681" w:rsidP="00160225">
            <w:pPr>
              <w:spacing w:after="0" w:line="240" w:lineRule="auto"/>
              <w:jc w:val="left"/>
              <w:rPr>
                <w:b/>
                <w:bCs/>
              </w:rPr>
            </w:pPr>
            <w:r w:rsidRPr="006C0681">
              <w:rPr>
                <w:b/>
                <w:bCs/>
              </w:rPr>
              <w:t xml:space="preserve">Gender </w:t>
            </w:r>
          </w:p>
        </w:tc>
        <w:tc>
          <w:tcPr>
            <w:tcW w:w="1843" w:type="dxa"/>
            <w:shd w:val="clear" w:color="auto" w:fill="C5E0B3" w:themeFill="accent6" w:themeFillTint="66"/>
          </w:tcPr>
          <w:p w14:paraId="65406532" w14:textId="1C8AA494" w:rsidR="006C0681" w:rsidRPr="006C0681" w:rsidRDefault="006C0681" w:rsidP="00160225">
            <w:pPr>
              <w:spacing w:after="0" w:line="240" w:lineRule="auto"/>
              <w:jc w:val="left"/>
              <w:rPr>
                <w:b/>
                <w:bCs/>
              </w:rPr>
            </w:pPr>
            <w:r w:rsidRPr="006C0681">
              <w:rPr>
                <w:b/>
                <w:bCs/>
              </w:rPr>
              <w:t>N</w:t>
            </w:r>
            <w:r w:rsidR="00B01653">
              <w:rPr>
                <w:b/>
                <w:bCs/>
              </w:rPr>
              <w:t>o.</w:t>
            </w:r>
            <w:r w:rsidRPr="006C0681">
              <w:rPr>
                <w:b/>
                <w:bCs/>
              </w:rPr>
              <w:t xml:space="preserve"> of employees</w:t>
            </w:r>
          </w:p>
        </w:tc>
        <w:tc>
          <w:tcPr>
            <w:tcW w:w="1417" w:type="dxa"/>
            <w:shd w:val="clear" w:color="auto" w:fill="C5E0B3" w:themeFill="accent6" w:themeFillTint="66"/>
          </w:tcPr>
          <w:p w14:paraId="72772E64" w14:textId="6A8C9DB4" w:rsidR="006C0681" w:rsidRPr="006C0681" w:rsidRDefault="006C0681" w:rsidP="00160225">
            <w:pPr>
              <w:spacing w:after="0" w:line="240" w:lineRule="auto"/>
              <w:jc w:val="left"/>
              <w:rPr>
                <w:b/>
                <w:bCs/>
              </w:rPr>
            </w:pPr>
            <w:r w:rsidRPr="006C0681">
              <w:rPr>
                <w:b/>
                <w:bCs/>
              </w:rPr>
              <w:t>Hourly Rate</w:t>
            </w:r>
          </w:p>
        </w:tc>
        <w:tc>
          <w:tcPr>
            <w:tcW w:w="2126" w:type="dxa"/>
            <w:shd w:val="clear" w:color="auto" w:fill="C5E0B3" w:themeFill="accent6" w:themeFillTint="66"/>
          </w:tcPr>
          <w:p w14:paraId="613BB381" w14:textId="629E0194" w:rsidR="006C0681" w:rsidRPr="006C0681" w:rsidRDefault="006C0681" w:rsidP="00160225">
            <w:pPr>
              <w:spacing w:after="0" w:line="240" w:lineRule="auto"/>
              <w:jc w:val="left"/>
              <w:rPr>
                <w:b/>
                <w:bCs/>
              </w:rPr>
            </w:pPr>
            <w:r w:rsidRPr="006C0681">
              <w:rPr>
                <w:b/>
                <w:bCs/>
              </w:rPr>
              <w:t>Mean % difference</w:t>
            </w:r>
          </w:p>
        </w:tc>
        <w:tc>
          <w:tcPr>
            <w:tcW w:w="2217" w:type="dxa"/>
            <w:shd w:val="clear" w:color="auto" w:fill="C5E0B3" w:themeFill="accent6" w:themeFillTint="66"/>
          </w:tcPr>
          <w:p w14:paraId="4A623B66" w14:textId="68C5BD71" w:rsidR="006C0681" w:rsidRPr="006C0681" w:rsidRDefault="006C0681" w:rsidP="00160225">
            <w:pPr>
              <w:spacing w:after="0" w:line="240" w:lineRule="auto"/>
              <w:jc w:val="left"/>
              <w:rPr>
                <w:b/>
                <w:bCs/>
              </w:rPr>
            </w:pPr>
            <w:r w:rsidRPr="006C0681">
              <w:rPr>
                <w:b/>
                <w:bCs/>
              </w:rPr>
              <w:t>Median % difference</w:t>
            </w:r>
          </w:p>
        </w:tc>
      </w:tr>
      <w:tr w:rsidR="00C75308" w14:paraId="6ED9A4F3" w14:textId="77777777" w:rsidTr="00B01653">
        <w:tc>
          <w:tcPr>
            <w:tcW w:w="1413" w:type="dxa"/>
            <w:shd w:val="clear" w:color="auto" w:fill="E2EFD9" w:themeFill="accent6" w:themeFillTint="33"/>
          </w:tcPr>
          <w:p w14:paraId="5275027E" w14:textId="4711DC4A" w:rsidR="00C75308" w:rsidRDefault="00C75308" w:rsidP="00160225">
            <w:pPr>
              <w:spacing w:after="0" w:line="240" w:lineRule="auto"/>
              <w:jc w:val="left"/>
            </w:pPr>
            <w:r>
              <w:t>Female</w:t>
            </w:r>
          </w:p>
        </w:tc>
        <w:tc>
          <w:tcPr>
            <w:tcW w:w="1843" w:type="dxa"/>
            <w:shd w:val="clear" w:color="auto" w:fill="FFFFFF" w:themeFill="background1"/>
          </w:tcPr>
          <w:p w14:paraId="6DED8DD0" w14:textId="5F664A04" w:rsidR="00C75308" w:rsidRDefault="00C75308" w:rsidP="00160225">
            <w:pPr>
              <w:spacing w:after="0" w:line="240" w:lineRule="auto"/>
              <w:jc w:val="left"/>
            </w:pPr>
            <w:r>
              <w:t>17</w:t>
            </w:r>
            <w:r w:rsidR="00461DCA">
              <w:t>8</w:t>
            </w:r>
          </w:p>
        </w:tc>
        <w:tc>
          <w:tcPr>
            <w:tcW w:w="1417" w:type="dxa"/>
            <w:shd w:val="clear" w:color="auto" w:fill="FFFFFF" w:themeFill="background1"/>
          </w:tcPr>
          <w:p w14:paraId="4D664FEF" w14:textId="32857841" w:rsidR="00C75308" w:rsidRDefault="00C75308" w:rsidP="00160225">
            <w:pPr>
              <w:spacing w:after="0" w:line="240" w:lineRule="auto"/>
              <w:jc w:val="left"/>
            </w:pPr>
            <w:r>
              <w:t>4</w:t>
            </w:r>
            <w:r w:rsidR="00461DCA">
              <w:t>1.59</w:t>
            </w:r>
          </w:p>
        </w:tc>
        <w:tc>
          <w:tcPr>
            <w:tcW w:w="2126" w:type="dxa"/>
            <w:vMerge w:val="restart"/>
            <w:shd w:val="clear" w:color="auto" w:fill="E2EFD9" w:themeFill="accent6" w:themeFillTint="33"/>
            <w:vAlign w:val="bottom"/>
          </w:tcPr>
          <w:p w14:paraId="691568E6" w14:textId="35E8AF4C" w:rsidR="00C75308" w:rsidRPr="00160225" w:rsidRDefault="00461DCA" w:rsidP="00160225">
            <w:pPr>
              <w:spacing w:after="0" w:line="240" w:lineRule="auto"/>
              <w:jc w:val="left"/>
              <w:rPr>
                <w:b/>
                <w:bCs/>
              </w:rPr>
            </w:pPr>
            <w:r w:rsidRPr="00160225">
              <w:rPr>
                <w:b/>
                <w:bCs/>
              </w:rPr>
              <w:t>4.83</w:t>
            </w:r>
          </w:p>
        </w:tc>
        <w:tc>
          <w:tcPr>
            <w:tcW w:w="2217" w:type="dxa"/>
            <w:vMerge w:val="restart"/>
            <w:shd w:val="clear" w:color="auto" w:fill="E2EFD9" w:themeFill="accent6" w:themeFillTint="33"/>
            <w:vAlign w:val="bottom"/>
          </w:tcPr>
          <w:p w14:paraId="75664107" w14:textId="625793D7" w:rsidR="00C75308" w:rsidRPr="00160225" w:rsidRDefault="00461DCA" w:rsidP="00160225">
            <w:pPr>
              <w:spacing w:after="0" w:line="240" w:lineRule="auto"/>
              <w:jc w:val="left"/>
              <w:rPr>
                <w:b/>
                <w:bCs/>
              </w:rPr>
            </w:pPr>
            <w:r w:rsidRPr="00160225">
              <w:rPr>
                <w:b/>
                <w:bCs/>
              </w:rPr>
              <w:t>7.72</w:t>
            </w:r>
          </w:p>
        </w:tc>
      </w:tr>
      <w:tr w:rsidR="00C75308" w14:paraId="420EDEEA" w14:textId="77777777" w:rsidTr="00B01653">
        <w:tc>
          <w:tcPr>
            <w:tcW w:w="1413" w:type="dxa"/>
            <w:shd w:val="clear" w:color="auto" w:fill="E2EFD9" w:themeFill="accent6" w:themeFillTint="33"/>
          </w:tcPr>
          <w:p w14:paraId="59DE12EC" w14:textId="69EC0AE5" w:rsidR="00C75308" w:rsidRDefault="00C75308" w:rsidP="006C0681">
            <w:pPr>
              <w:jc w:val="left"/>
            </w:pPr>
            <w:r>
              <w:t>Male</w:t>
            </w:r>
          </w:p>
        </w:tc>
        <w:tc>
          <w:tcPr>
            <w:tcW w:w="1843" w:type="dxa"/>
            <w:shd w:val="clear" w:color="auto" w:fill="FFFFFF" w:themeFill="background1"/>
          </w:tcPr>
          <w:p w14:paraId="3788CE9D" w14:textId="07095B74" w:rsidR="00C75308" w:rsidRDefault="00461DCA" w:rsidP="006C0681">
            <w:pPr>
              <w:jc w:val="left"/>
            </w:pPr>
            <w:r>
              <w:t>102</w:t>
            </w:r>
          </w:p>
        </w:tc>
        <w:tc>
          <w:tcPr>
            <w:tcW w:w="1417" w:type="dxa"/>
            <w:shd w:val="clear" w:color="auto" w:fill="FFFFFF" w:themeFill="background1"/>
          </w:tcPr>
          <w:p w14:paraId="166B1F93" w14:textId="7353D54B" w:rsidR="00C75308" w:rsidRDefault="00C75308" w:rsidP="006C0681">
            <w:pPr>
              <w:jc w:val="left"/>
            </w:pPr>
            <w:r>
              <w:t>4</w:t>
            </w:r>
            <w:r w:rsidR="00461DCA">
              <w:t>5.06</w:t>
            </w:r>
          </w:p>
        </w:tc>
        <w:tc>
          <w:tcPr>
            <w:tcW w:w="2126" w:type="dxa"/>
            <w:vMerge/>
            <w:shd w:val="clear" w:color="auto" w:fill="E2EFD9" w:themeFill="accent6" w:themeFillTint="33"/>
          </w:tcPr>
          <w:p w14:paraId="26A70945" w14:textId="5C2D6EE4" w:rsidR="00C75308" w:rsidRDefault="00C75308" w:rsidP="006C0681">
            <w:pPr>
              <w:jc w:val="left"/>
            </w:pPr>
          </w:p>
        </w:tc>
        <w:tc>
          <w:tcPr>
            <w:tcW w:w="2217" w:type="dxa"/>
            <w:vMerge/>
            <w:shd w:val="clear" w:color="auto" w:fill="E2EFD9" w:themeFill="accent6" w:themeFillTint="33"/>
          </w:tcPr>
          <w:p w14:paraId="711B5EC0" w14:textId="7F98A16C" w:rsidR="00C75308" w:rsidRDefault="00C75308" w:rsidP="006C0681">
            <w:pPr>
              <w:jc w:val="left"/>
            </w:pPr>
          </w:p>
        </w:tc>
      </w:tr>
      <w:tr w:rsidR="00C75308" w14:paraId="19203CAE" w14:textId="77777777" w:rsidTr="00B01653">
        <w:tc>
          <w:tcPr>
            <w:tcW w:w="1413" w:type="dxa"/>
            <w:shd w:val="clear" w:color="auto" w:fill="C5E0B3" w:themeFill="accent6" w:themeFillTint="66"/>
          </w:tcPr>
          <w:p w14:paraId="0CD00037" w14:textId="057C72C9" w:rsidR="00C75308" w:rsidRPr="00160225" w:rsidRDefault="00C75308" w:rsidP="00EB1FF1">
            <w:pPr>
              <w:spacing w:after="0"/>
              <w:jc w:val="left"/>
              <w:rPr>
                <w:b/>
                <w:bCs/>
              </w:rPr>
            </w:pPr>
            <w:r w:rsidRPr="00160225">
              <w:rPr>
                <w:b/>
                <w:bCs/>
              </w:rPr>
              <w:t>Total</w:t>
            </w:r>
          </w:p>
        </w:tc>
        <w:tc>
          <w:tcPr>
            <w:tcW w:w="1843" w:type="dxa"/>
            <w:shd w:val="clear" w:color="auto" w:fill="C5E0B3" w:themeFill="accent6" w:themeFillTint="66"/>
          </w:tcPr>
          <w:p w14:paraId="22A4E89E" w14:textId="49742037" w:rsidR="00C75308" w:rsidRPr="00160225" w:rsidRDefault="00C75308" w:rsidP="00EB1FF1">
            <w:pPr>
              <w:spacing w:after="0"/>
              <w:jc w:val="left"/>
              <w:rPr>
                <w:b/>
                <w:bCs/>
              </w:rPr>
            </w:pPr>
            <w:r w:rsidRPr="00160225">
              <w:rPr>
                <w:b/>
                <w:bCs/>
              </w:rPr>
              <w:t>2</w:t>
            </w:r>
            <w:r w:rsidR="00461DCA" w:rsidRPr="00160225">
              <w:rPr>
                <w:b/>
                <w:bCs/>
              </w:rPr>
              <w:t>80</w:t>
            </w:r>
          </w:p>
        </w:tc>
        <w:tc>
          <w:tcPr>
            <w:tcW w:w="1417" w:type="dxa"/>
            <w:shd w:val="clear" w:color="auto" w:fill="C5E0B3" w:themeFill="accent6" w:themeFillTint="66"/>
          </w:tcPr>
          <w:p w14:paraId="2B7CB670" w14:textId="49CDF24D" w:rsidR="00C75308" w:rsidRPr="00160225" w:rsidRDefault="00C75308" w:rsidP="00EB1FF1">
            <w:pPr>
              <w:spacing w:after="0"/>
              <w:jc w:val="left"/>
              <w:rPr>
                <w:b/>
                <w:bCs/>
              </w:rPr>
            </w:pPr>
            <w:r w:rsidRPr="00160225">
              <w:rPr>
                <w:b/>
                <w:bCs/>
              </w:rPr>
              <w:t>4</w:t>
            </w:r>
            <w:r w:rsidR="00461DCA" w:rsidRPr="00160225">
              <w:rPr>
                <w:b/>
                <w:bCs/>
              </w:rPr>
              <w:t>2.50</w:t>
            </w:r>
          </w:p>
        </w:tc>
        <w:tc>
          <w:tcPr>
            <w:tcW w:w="2126" w:type="dxa"/>
            <w:vMerge/>
            <w:shd w:val="clear" w:color="auto" w:fill="E2EFD9" w:themeFill="accent6" w:themeFillTint="33"/>
          </w:tcPr>
          <w:p w14:paraId="6A6FB3A3" w14:textId="1CBB26FC" w:rsidR="00C75308" w:rsidRDefault="00C75308" w:rsidP="00EB1FF1">
            <w:pPr>
              <w:spacing w:after="0"/>
              <w:jc w:val="left"/>
            </w:pPr>
          </w:p>
        </w:tc>
        <w:tc>
          <w:tcPr>
            <w:tcW w:w="2217" w:type="dxa"/>
            <w:vMerge/>
            <w:shd w:val="clear" w:color="auto" w:fill="E2EFD9" w:themeFill="accent6" w:themeFillTint="33"/>
          </w:tcPr>
          <w:p w14:paraId="5A4B62F5" w14:textId="490CB514" w:rsidR="00C75308" w:rsidRDefault="00C75308" w:rsidP="00EB1FF1">
            <w:pPr>
              <w:spacing w:after="0"/>
              <w:jc w:val="left"/>
            </w:pPr>
          </w:p>
        </w:tc>
      </w:tr>
    </w:tbl>
    <w:p w14:paraId="04A35AD9" w14:textId="352A999C" w:rsidR="0020245D" w:rsidRDefault="0020245D" w:rsidP="00466C05">
      <w:r>
        <w:lastRenderedPageBreak/>
        <w:t xml:space="preserve">The </w:t>
      </w:r>
      <w:r w:rsidRPr="00160225">
        <w:rPr>
          <w:i/>
          <w:iCs/>
        </w:rPr>
        <w:t>Hourly Rate Quartile Analysis</w:t>
      </w:r>
      <w:r>
        <w:t xml:space="preserve"> report shows the employee hourly rate broken down into quartiles.  The key item to review is how the gender distribution across each individual quartile compares to the overall gender distribution.</w:t>
      </w:r>
    </w:p>
    <w:tbl>
      <w:tblPr>
        <w:tblStyle w:val="TableGrid"/>
        <w:tblW w:w="0" w:type="auto"/>
        <w:tblLook w:val="04A0" w:firstRow="1" w:lastRow="0" w:firstColumn="1" w:lastColumn="0" w:noHBand="0" w:noVBand="1"/>
      </w:tblPr>
      <w:tblGrid>
        <w:gridCol w:w="3005"/>
        <w:gridCol w:w="3005"/>
        <w:gridCol w:w="3006"/>
      </w:tblGrid>
      <w:tr w:rsidR="00E2251D" w14:paraId="14EAA5CC" w14:textId="77777777" w:rsidTr="00E2251D">
        <w:tc>
          <w:tcPr>
            <w:tcW w:w="3005" w:type="dxa"/>
            <w:shd w:val="clear" w:color="auto" w:fill="C5E0B3" w:themeFill="accent6" w:themeFillTint="66"/>
          </w:tcPr>
          <w:p w14:paraId="49A964E1" w14:textId="43D8F86E" w:rsidR="00E2251D" w:rsidRPr="00E2251D" w:rsidRDefault="00E2251D" w:rsidP="00160225">
            <w:pPr>
              <w:spacing w:after="0"/>
              <w:rPr>
                <w:b/>
                <w:bCs/>
              </w:rPr>
            </w:pPr>
            <w:r>
              <w:rPr>
                <w:b/>
                <w:bCs/>
              </w:rPr>
              <w:t>Pay Quartiles</w:t>
            </w:r>
          </w:p>
        </w:tc>
        <w:tc>
          <w:tcPr>
            <w:tcW w:w="3005" w:type="dxa"/>
            <w:shd w:val="clear" w:color="auto" w:fill="C5E0B3" w:themeFill="accent6" w:themeFillTint="66"/>
          </w:tcPr>
          <w:p w14:paraId="028FFA56" w14:textId="7F6C696E" w:rsidR="00E2251D" w:rsidRPr="00E2251D" w:rsidRDefault="00E2251D" w:rsidP="00160225">
            <w:pPr>
              <w:spacing w:after="0"/>
              <w:rPr>
                <w:b/>
                <w:bCs/>
              </w:rPr>
            </w:pPr>
            <w:r>
              <w:rPr>
                <w:b/>
                <w:bCs/>
              </w:rPr>
              <w:t>% Female</w:t>
            </w:r>
          </w:p>
        </w:tc>
        <w:tc>
          <w:tcPr>
            <w:tcW w:w="3006" w:type="dxa"/>
            <w:shd w:val="clear" w:color="auto" w:fill="C5E0B3" w:themeFill="accent6" w:themeFillTint="66"/>
          </w:tcPr>
          <w:p w14:paraId="68836C9D" w14:textId="2E20044B" w:rsidR="00E2251D" w:rsidRPr="00E2251D" w:rsidRDefault="00E2251D" w:rsidP="00160225">
            <w:pPr>
              <w:spacing w:after="0"/>
              <w:rPr>
                <w:b/>
                <w:bCs/>
              </w:rPr>
            </w:pPr>
            <w:r>
              <w:rPr>
                <w:b/>
                <w:bCs/>
              </w:rPr>
              <w:t>% Male</w:t>
            </w:r>
          </w:p>
        </w:tc>
      </w:tr>
      <w:tr w:rsidR="00E2251D" w14:paraId="7A7291FD" w14:textId="77777777" w:rsidTr="00F10F1D">
        <w:tc>
          <w:tcPr>
            <w:tcW w:w="3005" w:type="dxa"/>
            <w:shd w:val="clear" w:color="auto" w:fill="E2EFD9" w:themeFill="accent6" w:themeFillTint="33"/>
          </w:tcPr>
          <w:p w14:paraId="29CC1A0E" w14:textId="757F97F5" w:rsidR="00E2251D" w:rsidRPr="00E2251D" w:rsidRDefault="00E2251D" w:rsidP="00160225">
            <w:pPr>
              <w:spacing w:after="0"/>
            </w:pPr>
            <w:r>
              <w:t>Quartile 1</w:t>
            </w:r>
          </w:p>
        </w:tc>
        <w:tc>
          <w:tcPr>
            <w:tcW w:w="3005" w:type="dxa"/>
            <w:shd w:val="clear" w:color="auto" w:fill="FFFFFF" w:themeFill="background1"/>
          </w:tcPr>
          <w:p w14:paraId="16104EF9" w14:textId="7C55EA31" w:rsidR="00E2251D" w:rsidRPr="00E2251D" w:rsidRDefault="00E2251D" w:rsidP="00160225">
            <w:pPr>
              <w:spacing w:after="0"/>
            </w:pPr>
            <w:r>
              <w:t>6</w:t>
            </w:r>
            <w:r w:rsidR="009A0A3E">
              <w:t>4</w:t>
            </w:r>
            <w:r>
              <w:t>.2</w:t>
            </w:r>
            <w:r w:rsidR="009A0A3E">
              <w:t>9</w:t>
            </w:r>
            <w:r>
              <w:t>%</w:t>
            </w:r>
          </w:p>
        </w:tc>
        <w:tc>
          <w:tcPr>
            <w:tcW w:w="3006" w:type="dxa"/>
            <w:shd w:val="clear" w:color="auto" w:fill="FFFFFF" w:themeFill="background1"/>
          </w:tcPr>
          <w:p w14:paraId="0AB26FAA" w14:textId="0159CBCE" w:rsidR="00E2251D" w:rsidRPr="00E2251D" w:rsidRDefault="00E2251D" w:rsidP="00160225">
            <w:pPr>
              <w:spacing w:after="0"/>
            </w:pPr>
            <w:r>
              <w:t>3</w:t>
            </w:r>
            <w:r w:rsidR="009A0A3E">
              <w:t>5.71</w:t>
            </w:r>
            <w:r>
              <w:t>%</w:t>
            </w:r>
          </w:p>
        </w:tc>
      </w:tr>
      <w:tr w:rsidR="00E2251D" w14:paraId="5EA6D527" w14:textId="77777777" w:rsidTr="00F10F1D">
        <w:tc>
          <w:tcPr>
            <w:tcW w:w="3005" w:type="dxa"/>
            <w:shd w:val="clear" w:color="auto" w:fill="E2EFD9" w:themeFill="accent6" w:themeFillTint="33"/>
          </w:tcPr>
          <w:p w14:paraId="5605E901" w14:textId="0694BC04" w:rsidR="00E2251D" w:rsidRDefault="00E2251D" w:rsidP="00160225">
            <w:pPr>
              <w:spacing w:after="0"/>
            </w:pPr>
            <w:r>
              <w:t>Quartile 2</w:t>
            </w:r>
          </w:p>
        </w:tc>
        <w:tc>
          <w:tcPr>
            <w:tcW w:w="3005" w:type="dxa"/>
            <w:shd w:val="clear" w:color="auto" w:fill="FFFFFF" w:themeFill="background1"/>
          </w:tcPr>
          <w:p w14:paraId="3BC8C1AD" w14:textId="69410264" w:rsidR="00E2251D" w:rsidRDefault="009A0A3E" w:rsidP="00160225">
            <w:pPr>
              <w:spacing w:after="0"/>
            </w:pPr>
            <w:r>
              <w:t>67.14</w:t>
            </w:r>
            <w:r w:rsidR="006E4C0C">
              <w:t>%</w:t>
            </w:r>
          </w:p>
        </w:tc>
        <w:tc>
          <w:tcPr>
            <w:tcW w:w="3006" w:type="dxa"/>
            <w:shd w:val="clear" w:color="auto" w:fill="FFFFFF" w:themeFill="background1"/>
          </w:tcPr>
          <w:p w14:paraId="1FBADC6C" w14:textId="0808CAE5" w:rsidR="00E2251D" w:rsidRDefault="006E4C0C" w:rsidP="00160225">
            <w:pPr>
              <w:spacing w:after="0"/>
            </w:pPr>
            <w:r>
              <w:t>3</w:t>
            </w:r>
            <w:r w:rsidR="009A0A3E">
              <w:t>2.86</w:t>
            </w:r>
            <w:r>
              <w:t>%</w:t>
            </w:r>
          </w:p>
        </w:tc>
      </w:tr>
      <w:tr w:rsidR="00E2251D" w14:paraId="11BE5479" w14:textId="77777777" w:rsidTr="00F10F1D">
        <w:tc>
          <w:tcPr>
            <w:tcW w:w="3005" w:type="dxa"/>
            <w:shd w:val="clear" w:color="auto" w:fill="E2EFD9" w:themeFill="accent6" w:themeFillTint="33"/>
          </w:tcPr>
          <w:p w14:paraId="74D00E5E" w14:textId="5EE9493C" w:rsidR="00E2251D" w:rsidRDefault="00E2251D" w:rsidP="00160225">
            <w:pPr>
              <w:spacing w:after="0"/>
            </w:pPr>
            <w:r>
              <w:t>Quartile 3</w:t>
            </w:r>
          </w:p>
        </w:tc>
        <w:tc>
          <w:tcPr>
            <w:tcW w:w="3005" w:type="dxa"/>
            <w:shd w:val="clear" w:color="auto" w:fill="FFFFFF" w:themeFill="background1"/>
          </w:tcPr>
          <w:p w14:paraId="6CC4145F" w14:textId="28C74926" w:rsidR="00E2251D" w:rsidRDefault="009A0A3E" w:rsidP="00160225">
            <w:pPr>
              <w:spacing w:after="0"/>
            </w:pPr>
            <w:r>
              <w:t>65.71</w:t>
            </w:r>
            <w:r w:rsidR="006E4C0C">
              <w:t>%</w:t>
            </w:r>
          </w:p>
        </w:tc>
        <w:tc>
          <w:tcPr>
            <w:tcW w:w="3006" w:type="dxa"/>
            <w:shd w:val="clear" w:color="auto" w:fill="FFFFFF" w:themeFill="background1"/>
          </w:tcPr>
          <w:p w14:paraId="394E73D4" w14:textId="658DB843" w:rsidR="00E2251D" w:rsidRDefault="006E4C0C" w:rsidP="00160225">
            <w:pPr>
              <w:spacing w:after="0"/>
            </w:pPr>
            <w:r>
              <w:t>3</w:t>
            </w:r>
            <w:r w:rsidR="009A0A3E">
              <w:t>4.29</w:t>
            </w:r>
            <w:r>
              <w:t>%</w:t>
            </w:r>
          </w:p>
        </w:tc>
      </w:tr>
      <w:tr w:rsidR="00E2251D" w14:paraId="748F22BF" w14:textId="77777777" w:rsidTr="00F10F1D">
        <w:tc>
          <w:tcPr>
            <w:tcW w:w="3005" w:type="dxa"/>
            <w:shd w:val="clear" w:color="auto" w:fill="E2EFD9" w:themeFill="accent6" w:themeFillTint="33"/>
          </w:tcPr>
          <w:p w14:paraId="53446AEE" w14:textId="4E8AEA76" w:rsidR="00E2251D" w:rsidRDefault="00E2251D" w:rsidP="00160225">
            <w:pPr>
              <w:spacing w:after="0"/>
            </w:pPr>
            <w:r>
              <w:t>Quartile 4</w:t>
            </w:r>
          </w:p>
        </w:tc>
        <w:tc>
          <w:tcPr>
            <w:tcW w:w="3005" w:type="dxa"/>
            <w:shd w:val="clear" w:color="auto" w:fill="FFFFFF" w:themeFill="background1"/>
          </w:tcPr>
          <w:p w14:paraId="02C717D6" w14:textId="140E838E" w:rsidR="00E2251D" w:rsidRDefault="006E4C0C" w:rsidP="00160225">
            <w:pPr>
              <w:spacing w:after="0"/>
            </w:pPr>
            <w:r>
              <w:t>5</w:t>
            </w:r>
            <w:r w:rsidR="009A0A3E">
              <w:t>7.14</w:t>
            </w:r>
            <w:r>
              <w:t>%</w:t>
            </w:r>
          </w:p>
        </w:tc>
        <w:tc>
          <w:tcPr>
            <w:tcW w:w="3006" w:type="dxa"/>
            <w:shd w:val="clear" w:color="auto" w:fill="FFFFFF" w:themeFill="background1"/>
          </w:tcPr>
          <w:p w14:paraId="2AEA2B62" w14:textId="715CF9E7" w:rsidR="00E2251D" w:rsidRDefault="006E4C0C" w:rsidP="00160225">
            <w:pPr>
              <w:spacing w:after="0"/>
            </w:pPr>
            <w:r>
              <w:t>4</w:t>
            </w:r>
            <w:r w:rsidR="009A0A3E">
              <w:t>2.86</w:t>
            </w:r>
            <w:r>
              <w:t>%</w:t>
            </w:r>
          </w:p>
        </w:tc>
      </w:tr>
    </w:tbl>
    <w:p w14:paraId="15C1CB12" w14:textId="77777777" w:rsidR="00E2251D" w:rsidRDefault="00E2251D" w:rsidP="00466C05"/>
    <w:p w14:paraId="62B8F98A" w14:textId="1EE01D81" w:rsidR="00F879CD" w:rsidRDefault="00F879CD" w:rsidP="00160225">
      <w:pPr>
        <w:spacing w:after="0" w:line="360" w:lineRule="auto"/>
      </w:pPr>
      <w:r w:rsidRPr="00160225">
        <w:rPr>
          <w:i/>
          <w:iCs/>
        </w:rPr>
        <w:t>Quartile 1</w:t>
      </w:r>
      <w:r>
        <w:t>: the first 25% of staff received from €14.9</w:t>
      </w:r>
      <w:r w:rsidR="009A0A3E">
        <w:t>6</w:t>
      </w:r>
      <w:r>
        <w:t xml:space="preserve"> to €2</w:t>
      </w:r>
      <w:r w:rsidR="009A0A3E">
        <w:t>4.9</w:t>
      </w:r>
      <w:r>
        <w:t>9 per hour.</w:t>
      </w:r>
    </w:p>
    <w:p w14:paraId="0F2AC7E5" w14:textId="40915504" w:rsidR="00F879CD" w:rsidRDefault="00F879CD" w:rsidP="00160225">
      <w:pPr>
        <w:spacing w:after="0" w:line="360" w:lineRule="auto"/>
      </w:pPr>
      <w:r w:rsidRPr="00160225">
        <w:rPr>
          <w:i/>
          <w:iCs/>
        </w:rPr>
        <w:t>Quartile 2</w:t>
      </w:r>
      <w:r>
        <w:t>: the next 25% of staff received from €2</w:t>
      </w:r>
      <w:r w:rsidR="009A0A3E">
        <w:t>5</w:t>
      </w:r>
      <w:r>
        <w:t>.0</w:t>
      </w:r>
      <w:r w:rsidR="009A0A3E">
        <w:t>4</w:t>
      </w:r>
      <w:r>
        <w:t xml:space="preserve"> to €4</w:t>
      </w:r>
      <w:r w:rsidR="009A0A3E">
        <w:t>2</w:t>
      </w:r>
      <w:r>
        <w:t>.</w:t>
      </w:r>
      <w:r w:rsidR="009A0A3E">
        <w:t>3</w:t>
      </w:r>
      <w:r>
        <w:t>4 per hour.</w:t>
      </w:r>
    </w:p>
    <w:p w14:paraId="2767C8B7" w14:textId="1F9C70D1" w:rsidR="00F879CD" w:rsidRDefault="00F879CD" w:rsidP="00160225">
      <w:pPr>
        <w:spacing w:after="0" w:line="360" w:lineRule="auto"/>
      </w:pPr>
      <w:r w:rsidRPr="00160225">
        <w:rPr>
          <w:i/>
          <w:iCs/>
        </w:rPr>
        <w:t>Quartile 3:</w:t>
      </w:r>
      <w:r>
        <w:t xml:space="preserve"> the next 25% of staff received from €4</w:t>
      </w:r>
      <w:r w:rsidR="009A0A3E">
        <w:t>2.66</w:t>
      </w:r>
      <w:r>
        <w:t xml:space="preserve"> to €55.</w:t>
      </w:r>
      <w:r w:rsidR="009A0A3E">
        <w:t>39</w:t>
      </w:r>
      <w:r>
        <w:t xml:space="preserve"> per hour.</w:t>
      </w:r>
    </w:p>
    <w:p w14:paraId="3743F907" w14:textId="5EF88FA5" w:rsidR="00A12343" w:rsidRDefault="00F879CD" w:rsidP="00160225">
      <w:pPr>
        <w:spacing w:after="0" w:line="360" w:lineRule="auto"/>
      </w:pPr>
      <w:r w:rsidRPr="00160225">
        <w:rPr>
          <w:i/>
          <w:iCs/>
        </w:rPr>
        <w:t>Quartile 4</w:t>
      </w:r>
      <w:r>
        <w:t>: the final 25% of staff received from €55.</w:t>
      </w:r>
      <w:r w:rsidR="009A0A3E">
        <w:t>41</w:t>
      </w:r>
      <w:r>
        <w:t xml:space="preserve"> to €134.34 per hour. </w:t>
      </w:r>
    </w:p>
    <w:p w14:paraId="65DE0B05" w14:textId="77777777" w:rsidR="00B91B4E" w:rsidRDefault="00B91B4E" w:rsidP="00466C05"/>
    <w:p w14:paraId="14C8F99C" w14:textId="5A822698" w:rsidR="00B91B4E" w:rsidRDefault="00B91B4E" w:rsidP="00466C05">
      <w:r>
        <w:rPr>
          <w:b/>
          <w:bCs/>
        </w:rPr>
        <w:t xml:space="preserve">Gender Pay Gap Metrics </w:t>
      </w:r>
      <w:r>
        <w:t>[Regulations 7(1), 8(1), 9(1) 10(1)</w:t>
      </w:r>
    </w:p>
    <w:tbl>
      <w:tblPr>
        <w:tblStyle w:val="TableGrid"/>
        <w:tblW w:w="0" w:type="auto"/>
        <w:tblLook w:val="04A0" w:firstRow="1" w:lastRow="0" w:firstColumn="1" w:lastColumn="0" w:noHBand="0" w:noVBand="1"/>
      </w:tblPr>
      <w:tblGrid>
        <w:gridCol w:w="2405"/>
        <w:gridCol w:w="1559"/>
        <w:gridCol w:w="1701"/>
        <w:gridCol w:w="1843"/>
        <w:gridCol w:w="1508"/>
      </w:tblGrid>
      <w:tr w:rsidR="00B91B4E" w14:paraId="01B28EF1" w14:textId="77777777" w:rsidTr="00B91B4E">
        <w:tc>
          <w:tcPr>
            <w:tcW w:w="9016" w:type="dxa"/>
            <w:gridSpan w:val="5"/>
            <w:shd w:val="clear" w:color="auto" w:fill="C5E0B3" w:themeFill="accent6" w:themeFillTint="66"/>
          </w:tcPr>
          <w:p w14:paraId="42563EC3" w14:textId="35960231" w:rsidR="00B91B4E" w:rsidRPr="00B91B4E" w:rsidRDefault="00B91B4E" w:rsidP="00160225">
            <w:pPr>
              <w:spacing w:after="0"/>
              <w:rPr>
                <w:b/>
                <w:bCs/>
              </w:rPr>
            </w:pPr>
            <w:r>
              <w:rPr>
                <w:b/>
                <w:bCs/>
              </w:rPr>
              <w:t>Gender gap in Hourly Remuneration</w:t>
            </w:r>
          </w:p>
        </w:tc>
      </w:tr>
      <w:tr w:rsidR="00B91B4E" w14:paraId="02D97B0F" w14:textId="77777777" w:rsidTr="00160225">
        <w:tc>
          <w:tcPr>
            <w:tcW w:w="2405" w:type="dxa"/>
            <w:shd w:val="clear" w:color="auto" w:fill="E2EFD9" w:themeFill="accent6" w:themeFillTint="33"/>
          </w:tcPr>
          <w:p w14:paraId="31EAA43A" w14:textId="77777777" w:rsidR="00B91B4E" w:rsidRDefault="00B91B4E" w:rsidP="00160225">
            <w:pPr>
              <w:spacing w:after="0"/>
            </w:pPr>
          </w:p>
        </w:tc>
        <w:tc>
          <w:tcPr>
            <w:tcW w:w="1559" w:type="dxa"/>
            <w:shd w:val="clear" w:color="auto" w:fill="E2EFD9" w:themeFill="accent6" w:themeFillTint="33"/>
          </w:tcPr>
          <w:p w14:paraId="11AB1EC3" w14:textId="7DE09C6F" w:rsidR="00B91B4E" w:rsidRPr="00B91B4E" w:rsidRDefault="00B91B4E" w:rsidP="00160225">
            <w:pPr>
              <w:spacing w:after="0"/>
              <w:rPr>
                <w:b/>
                <w:bCs/>
              </w:rPr>
            </w:pPr>
            <w:r w:rsidRPr="00B91B4E">
              <w:rPr>
                <w:b/>
                <w:bCs/>
              </w:rPr>
              <w:t>Mean</w:t>
            </w:r>
          </w:p>
        </w:tc>
        <w:tc>
          <w:tcPr>
            <w:tcW w:w="1701" w:type="dxa"/>
            <w:shd w:val="clear" w:color="auto" w:fill="E2EFD9" w:themeFill="accent6" w:themeFillTint="33"/>
          </w:tcPr>
          <w:p w14:paraId="6CC7E293" w14:textId="2CDE51FA" w:rsidR="00B91B4E" w:rsidRPr="00B01653" w:rsidRDefault="00B91B4E" w:rsidP="00160225">
            <w:pPr>
              <w:spacing w:after="0"/>
              <w:rPr>
                <w:b/>
                <w:bCs/>
              </w:rPr>
            </w:pPr>
            <w:r w:rsidRPr="00B01653">
              <w:rPr>
                <w:b/>
                <w:bCs/>
              </w:rPr>
              <w:t>%</w:t>
            </w:r>
          </w:p>
        </w:tc>
        <w:tc>
          <w:tcPr>
            <w:tcW w:w="1843" w:type="dxa"/>
            <w:shd w:val="clear" w:color="auto" w:fill="E2EFD9" w:themeFill="accent6" w:themeFillTint="33"/>
          </w:tcPr>
          <w:p w14:paraId="4B4C0309" w14:textId="739FED2E" w:rsidR="00B91B4E" w:rsidRPr="00B01653" w:rsidRDefault="00B91B4E" w:rsidP="00160225">
            <w:pPr>
              <w:spacing w:after="0"/>
              <w:rPr>
                <w:b/>
                <w:bCs/>
              </w:rPr>
            </w:pPr>
            <w:r w:rsidRPr="00B01653">
              <w:rPr>
                <w:b/>
                <w:bCs/>
              </w:rPr>
              <w:t>Median</w:t>
            </w:r>
          </w:p>
        </w:tc>
        <w:tc>
          <w:tcPr>
            <w:tcW w:w="1508" w:type="dxa"/>
            <w:shd w:val="clear" w:color="auto" w:fill="E2EFD9" w:themeFill="accent6" w:themeFillTint="33"/>
          </w:tcPr>
          <w:p w14:paraId="3E1D3DD2" w14:textId="595AEDE1" w:rsidR="00B91B4E" w:rsidRPr="00B01653" w:rsidRDefault="00B91B4E" w:rsidP="00160225">
            <w:pPr>
              <w:spacing w:after="0"/>
              <w:rPr>
                <w:b/>
                <w:bCs/>
              </w:rPr>
            </w:pPr>
            <w:r w:rsidRPr="00B01653">
              <w:rPr>
                <w:b/>
                <w:bCs/>
              </w:rPr>
              <w:t>%</w:t>
            </w:r>
          </w:p>
        </w:tc>
      </w:tr>
      <w:tr w:rsidR="00B91B4E" w14:paraId="1D71AD36" w14:textId="77777777" w:rsidTr="00F10F1D">
        <w:tc>
          <w:tcPr>
            <w:tcW w:w="2405" w:type="dxa"/>
            <w:shd w:val="clear" w:color="auto" w:fill="E2EFD9" w:themeFill="accent6" w:themeFillTint="33"/>
          </w:tcPr>
          <w:p w14:paraId="08529213" w14:textId="09139D5F" w:rsidR="00B91B4E" w:rsidRDefault="00B91B4E" w:rsidP="00160225">
            <w:pPr>
              <w:spacing w:after="0"/>
            </w:pPr>
            <w:r>
              <w:t>All Employees</w:t>
            </w:r>
          </w:p>
        </w:tc>
        <w:tc>
          <w:tcPr>
            <w:tcW w:w="1559" w:type="dxa"/>
            <w:shd w:val="clear" w:color="auto" w:fill="FFFFFF" w:themeFill="background1"/>
          </w:tcPr>
          <w:p w14:paraId="62BA970D" w14:textId="4A2C45FE" w:rsidR="00B91B4E" w:rsidRDefault="00B91B4E" w:rsidP="00160225">
            <w:pPr>
              <w:spacing w:after="0"/>
            </w:pPr>
            <w:r>
              <w:t>R.7(1)(a)</w:t>
            </w:r>
          </w:p>
        </w:tc>
        <w:tc>
          <w:tcPr>
            <w:tcW w:w="1701" w:type="dxa"/>
            <w:shd w:val="clear" w:color="auto" w:fill="FFFFFF" w:themeFill="background1"/>
          </w:tcPr>
          <w:p w14:paraId="2B41B7BF" w14:textId="0EB04B62" w:rsidR="00B91B4E" w:rsidRDefault="00672BAD" w:rsidP="00160225">
            <w:pPr>
              <w:spacing w:after="0"/>
            </w:pPr>
            <w:r>
              <w:t>4</w:t>
            </w:r>
            <w:r w:rsidR="00D74CB4">
              <w:t>.8</w:t>
            </w:r>
            <w:r>
              <w:t>3</w:t>
            </w:r>
          </w:p>
        </w:tc>
        <w:tc>
          <w:tcPr>
            <w:tcW w:w="1843" w:type="dxa"/>
            <w:shd w:val="clear" w:color="auto" w:fill="FFFFFF" w:themeFill="background1"/>
          </w:tcPr>
          <w:p w14:paraId="1332F50E" w14:textId="058B3728" w:rsidR="00B91B4E" w:rsidRDefault="00B91B4E" w:rsidP="00160225">
            <w:pPr>
              <w:spacing w:after="0"/>
            </w:pPr>
            <w:r>
              <w:t>R.8(1)(a)</w:t>
            </w:r>
          </w:p>
        </w:tc>
        <w:tc>
          <w:tcPr>
            <w:tcW w:w="1508" w:type="dxa"/>
            <w:shd w:val="clear" w:color="auto" w:fill="FFFFFF" w:themeFill="background1"/>
          </w:tcPr>
          <w:p w14:paraId="24EFC552" w14:textId="66280D0A" w:rsidR="00B91B4E" w:rsidRDefault="00672BAD" w:rsidP="00160225">
            <w:pPr>
              <w:spacing w:after="0"/>
            </w:pPr>
            <w:r>
              <w:t>7.72</w:t>
            </w:r>
          </w:p>
        </w:tc>
      </w:tr>
      <w:tr w:rsidR="00B91B4E" w14:paraId="58C73A4F" w14:textId="77777777" w:rsidTr="00F10F1D">
        <w:tc>
          <w:tcPr>
            <w:tcW w:w="2405" w:type="dxa"/>
            <w:shd w:val="clear" w:color="auto" w:fill="E2EFD9" w:themeFill="accent6" w:themeFillTint="33"/>
          </w:tcPr>
          <w:p w14:paraId="767E553F" w14:textId="71ECF710" w:rsidR="00B91B4E" w:rsidRDefault="00B91B4E" w:rsidP="00160225">
            <w:pPr>
              <w:spacing w:after="0"/>
            </w:pPr>
            <w:r>
              <w:t>Part-time Employees</w:t>
            </w:r>
          </w:p>
        </w:tc>
        <w:tc>
          <w:tcPr>
            <w:tcW w:w="1559" w:type="dxa"/>
            <w:shd w:val="clear" w:color="auto" w:fill="FFFFFF" w:themeFill="background1"/>
          </w:tcPr>
          <w:p w14:paraId="679947E6" w14:textId="5FDB0FCE" w:rsidR="00B91B4E" w:rsidRDefault="00B91B4E" w:rsidP="00160225">
            <w:pPr>
              <w:spacing w:after="0"/>
            </w:pPr>
            <w:r>
              <w:t>R.7(1)(b)</w:t>
            </w:r>
          </w:p>
        </w:tc>
        <w:tc>
          <w:tcPr>
            <w:tcW w:w="1701" w:type="dxa"/>
            <w:shd w:val="clear" w:color="auto" w:fill="FFFFFF" w:themeFill="background1"/>
          </w:tcPr>
          <w:p w14:paraId="7E681FB0" w14:textId="6633C999" w:rsidR="00B91B4E" w:rsidRDefault="007B0A76" w:rsidP="00160225">
            <w:pPr>
              <w:spacing w:after="0"/>
            </w:pPr>
            <w:r>
              <w:t>4.21</w:t>
            </w:r>
          </w:p>
        </w:tc>
        <w:tc>
          <w:tcPr>
            <w:tcW w:w="1843" w:type="dxa"/>
            <w:shd w:val="clear" w:color="auto" w:fill="FFFFFF" w:themeFill="background1"/>
          </w:tcPr>
          <w:p w14:paraId="7B949AAB" w14:textId="6C071CC2" w:rsidR="00B91B4E" w:rsidRDefault="00B91B4E" w:rsidP="00160225">
            <w:pPr>
              <w:spacing w:after="0"/>
            </w:pPr>
            <w:r>
              <w:t>R.8(1)(b)</w:t>
            </w:r>
          </w:p>
        </w:tc>
        <w:tc>
          <w:tcPr>
            <w:tcW w:w="1508" w:type="dxa"/>
            <w:shd w:val="clear" w:color="auto" w:fill="FFFFFF" w:themeFill="background1"/>
          </w:tcPr>
          <w:p w14:paraId="0EFE9C84" w14:textId="5D7A49E3" w:rsidR="00B91B4E" w:rsidRDefault="007B0A76" w:rsidP="00160225">
            <w:pPr>
              <w:spacing w:after="0"/>
            </w:pPr>
            <w:r>
              <w:t>-0.31</w:t>
            </w:r>
          </w:p>
        </w:tc>
      </w:tr>
      <w:tr w:rsidR="00B91B4E" w14:paraId="0E984110" w14:textId="77777777" w:rsidTr="00F10F1D">
        <w:tc>
          <w:tcPr>
            <w:tcW w:w="2405" w:type="dxa"/>
            <w:shd w:val="clear" w:color="auto" w:fill="E2EFD9" w:themeFill="accent6" w:themeFillTint="33"/>
          </w:tcPr>
          <w:p w14:paraId="7A49B1A8" w14:textId="37BFDE97" w:rsidR="00B91B4E" w:rsidRDefault="00B91B4E" w:rsidP="00160225">
            <w:pPr>
              <w:spacing w:after="0"/>
            </w:pPr>
            <w:r>
              <w:t>Temporary Employees</w:t>
            </w:r>
          </w:p>
        </w:tc>
        <w:tc>
          <w:tcPr>
            <w:tcW w:w="1559" w:type="dxa"/>
            <w:shd w:val="clear" w:color="auto" w:fill="FFFFFF" w:themeFill="background1"/>
          </w:tcPr>
          <w:p w14:paraId="78317CEE" w14:textId="005D0187" w:rsidR="00B91B4E" w:rsidRDefault="00B91B4E" w:rsidP="00160225">
            <w:pPr>
              <w:spacing w:after="0"/>
            </w:pPr>
            <w:r>
              <w:t>R7(1)(c)</w:t>
            </w:r>
          </w:p>
        </w:tc>
        <w:tc>
          <w:tcPr>
            <w:tcW w:w="1701" w:type="dxa"/>
            <w:shd w:val="clear" w:color="auto" w:fill="FFFFFF" w:themeFill="background1"/>
          </w:tcPr>
          <w:p w14:paraId="1D929CE4" w14:textId="620B11E2" w:rsidR="00B91B4E" w:rsidRDefault="007B0A76" w:rsidP="00160225">
            <w:pPr>
              <w:spacing w:after="0"/>
            </w:pPr>
            <w:r>
              <w:t>-9.23</w:t>
            </w:r>
            <w:r w:rsidR="00392405">
              <w:t>%</w:t>
            </w:r>
          </w:p>
        </w:tc>
        <w:tc>
          <w:tcPr>
            <w:tcW w:w="1843" w:type="dxa"/>
            <w:shd w:val="clear" w:color="auto" w:fill="FFFFFF" w:themeFill="background1"/>
          </w:tcPr>
          <w:p w14:paraId="1C9995FF" w14:textId="0E7A29B6" w:rsidR="00B91B4E" w:rsidRDefault="00B91B4E" w:rsidP="00160225">
            <w:pPr>
              <w:spacing w:after="0"/>
            </w:pPr>
            <w:r>
              <w:t>R.8(1)(c)</w:t>
            </w:r>
          </w:p>
        </w:tc>
        <w:tc>
          <w:tcPr>
            <w:tcW w:w="1508" w:type="dxa"/>
            <w:shd w:val="clear" w:color="auto" w:fill="FFFFFF" w:themeFill="background1"/>
          </w:tcPr>
          <w:p w14:paraId="4B1C0FD5" w14:textId="249972B6" w:rsidR="00B91B4E" w:rsidRDefault="007B0A76" w:rsidP="00160225">
            <w:pPr>
              <w:spacing w:after="0"/>
            </w:pPr>
            <w:r>
              <w:t>-9.23</w:t>
            </w:r>
            <w:r w:rsidR="00392405">
              <w:t>%</w:t>
            </w:r>
          </w:p>
        </w:tc>
      </w:tr>
    </w:tbl>
    <w:p w14:paraId="459F5085" w14:textId="77777777" w:rsidR="00B91B4E" w:rsidRDefault="00B91B4E" w:rsidP="00466C05"/>
    <w:tbl>
      <w:tblPr>
        <w:tblStyle w:val="TableGrid"/>
        <w:tblW w:w="0" w:type="auto"/>
        <w:tblLook w:val="04A0" w:firstRow="1" w:lastRow="0" w:firstColumn="1" w:lastColumn="0" w:noHBand="0" w:noVBand="1"/>
      </w:tblPr>
      <w:tblGrid>
        <w:gridCol w:w="2405"/>
        <w:gridCol w:w="1559"/>
        <w:gridCol w:w="1701"/>
        <w:gridCol w:w="1843"/>
        <w:gridCol w:w="1508"/>
      </w:tblGrid>
      <w:tr w:rsidR="00B91B4E" w14:paraId="19EC0879" w14:textId="77777777" w:rsidTr="00B91B4E">
        <w:tc>
          <w:tcPr>
            <w:tcW w:w="9016" w:type="dxa"/>
            <w:gridSpan w:val="5"/>
            <w:shd w:val="clear" w:color="auto" w:fill="C5E0B3" w:themeFill="accent6" w:themeFillTint="66"/>
          </w:tcPr>
          <w:p w14:paraId="14158DC2" w14:textId="01022360" w:rsidR="00B91B4E" w:rsidRPr="00B91B4E" w:rsidRDefault="00B91B4E" w:rsidP="00160225">
            <w:pPr>
              <w:spacing w:after="0"/>
              <w:rPr>
                <w:b/>
                <w:bCs/>
              </w:rPr>
            </w:pPr>
            <w:r>
              <w:rPr>
                <w:b/>
                <w:bCs/>
              </w:rPr>
              <w:t>Gender gap in Bonus</w:t>
            </w:r>
            <w:r w:rsidR="00905DFE">
              <w:rPr>
                <w:b/>
                <w:bCs/>
              </w:rPr>
              <w:t>/ Benefit in kind</w:t>
            </w:r>
          </w:p>
        </w:tc>
      </w:tr>
      <w:tr w:rsidR="00B91B4E" w14:paraId="671A416E" w14:textId="77777777" w:rsidTr="00160225">
        <w:tc>
          <w:tcPr>
            <w:tcW w:w="2405" w:type="dxa"/>
            <w:shd w:val="clear" w:color="auto" w:fill="E2EFD9" w:themeFill="accent6" w:themeFillTint="33"/>
          </w:tcPr>
          <w:p w14:paraId="0F0DB7E4" w14:textId="77777777" w:rsidR="00B91B4E" w:rsidRDefault="00B91B4E" w:rsidP="00160225">
            <w:pPr>
              <w:spacing w:after="0"/>
            </w:pPr>
          </w:p>
        </w:tc>
        <w:tc>
          <w:tcPr>
            <w:tcW w:w="1559" w:type="dxa"/>
            <w:shd w:val="clear" w:color="auto" w:fill="E2EFD9" w:themeFill="accent6" w:themeFillTint="33"/>
          </w:tcPr>
          <w:p w14:paraId="1C546692" w14:textId="77777777" w:rsidR="00B91B4E" w:rsidRPr="00B91B4E" w:rsidRDefault="00B91B4E" w:rsidP="00160225">
            <w:pPr>
              <w:spacing w:after="0"/>
              <w:rPr>
                <w:b/>
                <w:bCs/>
              </w:rPr>
            </w:pPr>
            <w:r w:rsidRPr="00B91B4E">
              <w:rPr>
                <w:b/>
                <w:bCs/>
              </w:rPr>
              <w:t>Mean</w:t>
            </w:r>
          </w:p>
        </w:tc>
        <w:tc>
          <w:tcPr>
            <w:tcW w:w="1701" w:type="dxa"/>
            <w:shd w:val="clear" w:color="auto" w:fill="E2EFD9" w:themeFill="accent6" w:themeFillTint="33"/>
          </w:tcPr>
          <w:p w14:paraId="6CEFA01D" w14:textId="77777777" w:rsidR="00B91B4E" w:rsidRPr="00B01653" w:rsidRDefault="00B91B4E" w:rsidP="00160225">
            <w:pPr>
              <w:spacing w:after="0"/>
              <w:rPr>
                <w:b/>
                <w:bCs/>
              </w:rPr>
            </w:pPr>
            <w:r w:rsidRPr="00B01653">
              <w:rPr>
                <w:b/>
                <w:bCs/>
              </w:rPr>
              <w:t>%</w:t>
            </w:r>
          </w:p>
        </w:tc>
        <w:tc>
          <w:tcPr>
            <w:tcW w:w="1843" w:type="dxa"/>
            <w:shd w:val="clear" w:color="auto" w:fill="E2EFD9" w:themeFill="accent6" w:themeFillTint="33"/>
          </w:tcPr>
          <w:p w14:paraId="3FDE77C4" w14:textId="77777777" w:rsidR="00B91B4E" w:rsidRPr="00B01653" w:rsidRDefault="00B91B4E" w:rsidP="00160225">
            <w:pPr>
              <w:spacing w:after="0"/>
              <w:rPr>
                <w:b/>
                <w:bCs/>
              </w:rPr>
            </w:pPr>
            <w:r w:rsidRPr="00B01653">
              <w:rPr>
                <w:b/>
                <w:bCs/>
              </w:rPr>
              <w:t>Median</w:t>
            </w:r>
          </w:p>
        </w:tc>
        <w:tc>
          <w:tcPr>
            <w:tcW w:w="1508" w:type="dxa"/>
            <w:shd w:val="clear" w:color="auto" w:fill="E2EFD9" w:themeFill="accent6" w:themeFillTint="33"/>
          </w:tcPr>
          <w:p w14:paraId="54A55E2A" w14:textId="77777777" w:rsidR="00B91B4E" w:rsidRPr="00B01653" w:rsidRDefault="00B91B4E" w:rsidP="00160225">
            <w:pPr>
              <w:spacing w:after="0"/>
              <w:rPr>
                <w:b/>
                <w:bCs/>
              </w:rPr>
            </w:pPr>
            <w:r w:rsidRPr="00B01653">
              <w:rPr>
                <w:b/>
                <w:bCs/>
              </w:rPr>
              <w:t>%</w:t>
            </w:r>
          </w:p>
        </w:tc>
      </w:tr>
      <w:tr w:rsidR="00B91B4E" w14:paraId="04F0D9C4" w14:textId="77777777" w:rsidTr="00F10F1D">
        <w:tc>
          <w:tcPr>
            <w:tcW w:w="2405" w:type="dxa"/>
            <w:shd w:val="clear" w:color="auto" w:fill="E2EFD9" w:themeFill="accent6" w:themeFillTint="33"/>
          </w:tcPr>
          <w:p w14:paraId="754D006F" w14:textId="68726F6E" w:rsidR="00B91B4E" w:rsidRDefault="00B91B4E" w:rsidP="00160225">
            <w:pPr>
              <w:spacing w:after="0"/>
            </w:pPr>
            <w:r>
              <w:t>Bonus</w:t>
            </w:r>
          </w:p>
        </w:tc>
        <w:tc>
          <w:tcPr>
            <w:tcW w:w="1559" w:type="dxa"/>
            <w:shd w:val="clear" w:color="auto" w:fill="FFFFFF" w:themeFill="background1"/>
          </w:tcPr>
          <w:p w14:paraId="26169C9C" w14:textId="1E8E0E87" w:rsidR="00B91B4E" w:rsidRDefault="00B91B4E" w:rsidP="00160225">
            <w:pPr>
              <w:spacing w:after="0"/>
            </w:pPr>
            <w:r>
              <w:t>R.9(1)(a)</w:t>
            </w:r>
          </w:p>
        </w:tc>
        <w:tc>
          <w:tcPr>
            <w:tcW w:w="1701" w:type="dxa"/>
            <w:shd w:val="clear" w:color="auto" w:fill="FFFFFF" w:themeFill="background1"/>
          </w:tcPr>
          <w:p w14:paraId="4C82D0EE" w14:textId="6ED11896" w:rsidR="00B91B4E" w:rsidRDefault="00B91B4E" w:rsidP="00160225">
            <w:pPr>
              <w:spacing w:after="0"/>
            </w:pPr>
            <w:r>
              <w:t>N/A</w:t>
            </w:r>
          </w:p>
        </w:tc>
        <w:tc>
          <w:tcPr>
            <w:tcW w:w="1843" w:type="dxa"/>
            <w:shd w:val="clear" w:color="auto" w:fill="FFFFFF" w:themeFill="background1"/>
          </w:tcPr>
          <w:p w14:paraId="51962682" w14:textId="292D7549" w:rsidR="00B91B4E" w:rsidRDefault="00B91B4E" w:rsidP="00160225">
            <w:pPr>
              <w:spacing w:after="0"/>
            </w:pPr>
            <w:r>
              <w:t>R.8(1)(b)</w:t>
            </w:r>
          </w:p>
        </w:tc>
        <w:tc>
          <w:tcPr>
            <w:tcW w:w="1508" w:type="dxa"/>
            <w:shd w:val="clear" w:color="auto" w:fill="FFFFFF" w:themeFill="background1"/>
          </w:tcPr>
          <w:p w14:paraId="08502039" w14:textId="4F48D616" w:rsidR="00B91B4E" w:rsidRDefault="00B91B4E" w:rsidP="00160225">
            <w:pPr>
              <w:spacing w:after="0"/>
            </w:pPr>
            <w:r>
              <w:t>N/A</w:t>
            </w:r>
          </w:p>
        </w:tc>
      </w:tr>
      <w:tr w:rsidR="00905DFE" w14:paraId="0E336CA8" w14:textId="77777777" w:rsidTr="00F10F1D">
        <w:tc>
          <w:tcPr>
            <w:tcW w:w="2405" w:type="dxa"/>
            <w:shd w:val="clear" w:color="auto" w:fill="E2EFD9" w:themeFill="accent6" w:themeFillTint="33"/>
          </w:tcPr>
          <w:p w14:paraId="41D93FCD" w14:textId="57ECA63B" w:rsidR="00905DFE" w:rsidRDefault="00905DFE" w:rsidP="00160225">
            <w:pPr>
              <w:spacing w:after="0"/>
            </w:pPr>
            <w:r>
              <w:t>Benefit in kind</w:t>
            </w:r>
          </w:p>
        </w:tc>
        <w:tc>
          <w:tcPr>
            <w:tcW w:w="1559" w:type="dxa"/>
            <w:shd w:val="clear" w:color="auto" w:fill="FFFFFF" w:themeFill="background1"/>
          </w:tcPr>
          <w:p w14:paraId="4671625B" w14:textId="490D624E" w:rsidR="00905DFE" w:rsidRDefault="00905DFE" w:rsidP="00160225">
            <w:pPr>
              <w:spacing w:after="0"/>
            </w:pPr>
            <w:r>
              <w:t>R.9(1)(d)</w:t>
            </w:r>
          </w:p>
        </w:tc>
        <w:tc>
          <w:tcPr>
            <w:tcW w:w="1701" w:type="dxa"/>
            <w:shd w:val="clear" w:color="auto" w:fill="FFFFFF" w:themeFill="background1"/>
          </w:tcPr>
          <w:p w14:paraId="06D71075" w14:textId="1D1E4917" w:rsidR="00905DFE" w:rsidRDefault="00905DFE" w:rsidP="00160225">
            <w:pPr>
              <w:spacing w:after="0"/>
            </w:pPr>
            <w:r>
              <w:t>N/A</w:t>
            </w:r>
          </w:p>
        </w:tc>
        <w:tc>
          <w:tcPr>
            <w:tcW w:w="1843" w:type="dxa"/>
            <w:shd w:val="clear" w:color="auto" w:fill="FFFFFF" w:themeFill="background1"/>
          </w:tcPr>
          <w:p w14:paraId="039F125A" w14:textId="4B2496C4" w:rsidR="00905DFE" w:rsidRDefault="00905DFE" w:rsidP="00160225">
            <w:pPr>
              <w:spacing w:after="0"/>
            </w:pPr>
            <w:r>
              <w:t>R.9(1)(d)</w:t>
            </w:r>
          </w:p>
        </w:tc>
        <w:tc>
          <w:tcPr>
            <w:tcW w:w="1508" w:type="dxa"/>
            <w:shd w:val="clear" w:color="auto" w:fill="FFFFFF" w:themeFill="background1"/>
          </w:tcPr>
          <w:p w14:paraId="088FC2DE" w14:textId="50E90FB4" w:rsidR="00905DFE" w:rsidRDefault="00905DFE" w:rsidP="00160225">
            <w:pPr>
              <w:spacing w:after="0"/>
            </w:pPr>
            <w:r>
              <w:t>N/A</w:t>
            </w:r>
          </w:p>
        </w:tc>
      </w:tr>
    </w:tbl>
    <w:p w14:paraId="41F94D41" w14:textId="77777777" w:rsidR="00B91B4E" w:rsidRDefault="00B91B4E" w:rsidP="00466C05"/>
    <w:p w14:paraId="719B1DBA" w14:textId="7FACF7AD" w:rsidR="004E4281" w:rsidRDefault="00A6280E" w:rsidP="006E4C0C">
      <w:pPr>
        <w:pStyle w:val="Heading1"/>
      </w:pPr>
      <w:bookmarkStart w:id="12" w:name="_Toc184637245"/>
      <w:r>
        <w:t>C</w:t>
      </w:r>
      <w:r w:rsidR="004E4281">
        <w:t>onclusion</w:t>
      </w:r>
      <w:bookmarkEnd w:id="12"/>
    </w:p>
    <w:p w14:paraId="66D04DCC" w14:textId="0A807360" w:rsidR="004E4281" w:rsidRDefault="004E4281" w:rsidP="004E4281">
      <w:r>
        <w:t xml:space="preserve">The </w:t>
      </w:r>
      <w:r w:rsidR="00C03CA6">
        <w:t xml:space="preserve">Gender Pay Gap Report highlights that it exists </w:t>
      </w:r>
      <w:r w:rsidR="00ED3611">
        <w:t xml:space="preserve">with the </w:t>
      </w:r>
      <w:r w:rsidR="00C03CA6">
        <w:t>mean leve</w:t>
      </w:r>
      <w:r w:rsidR="00ED3611">
        <w:t>l</w:t>
      </w:r>
      <w:r w:rsidR="00C03CA6">
        <w:t xml:space="preserve"> (average) the gap favours males by </w:t>
      </w:r>
      <w:r w:rsidR="00ED3611">
        <w:t>4.83</w:t>
      </w:r>
      <w:r w:rsidR="00C03CA6">
        <w:t xml:space="preserve">% and at median level favours males at </w:t>
      </w:r>
      <w:r w:rsidR="00ED3611">
        <w:t>7.72</w:t>
      </w:r>
      <w:r w:rsidR="00C03CA6">
        <w:t xml:space="preserve">%.  As a Civil Service Office, pay is set centrally and does not discriminate by gender.  At the time of this report the gender balance in ODPP was </w:t>
      </w:r>
      <w:r w:rsidR="008C1E9A">
        <w:t>64%</w:t>
      </w:r>
      <w:r w:rsidR="00C03CA6">
        <w:t xml:space="preserve"> female and </w:t>
      </w:r>
      <w:r w:rsidR="008C1E9A">
        <w:t>3</w:t>
      </w:r>
      <w:r w:rsidR="0087400B">
        <w:t>6</w:t>
      </w:r>
      <w:r w:rsidR="008C1E9A">
        <w:t>%</w:t>
      </w:r>
      <w:r w:rsidR="00C03CA6">
        <w:t xml:space="preserve"> male.  </w:t>
      </w:r>
      <w:r w:rsidR="008C1E9A">
        <w:t>With just over 1</w:t>
      </w:r>
      <w:r w:rsidR="004415B6">
        <w:t>8</w:t>
      </w:r>
      <w:r w:rsidR="008C1E9A">
        <w:t xml:space="preserve">% of females working part-time compared to </w:t>
      </w:r>
      <w:r w:rsidR="004415B6">
        <w:t>0.02</w:t>
      </w:r>
      <w:r w:rsidR="008C1E9A">
        <w:t xml:space="preserve">% of males.  </w:t>
      </w:r>
      <w:r w:rsidR="0073774E" w:rsidRPr="0073774E">
        <w:t>A key factor contributing to the pay disparity is that many female employees opt to avail of work life balance schemes, such as</w:t>
      </w:r>
      <w:r w:rsidR="00C03CA6">
        <w:t xml:space="preserve"> Parental leave, Parents leave, Shorter Working Year and Worksharing.   All these schemes are unpaid which in turn reduces the overall female earnings.</w:t>
      </w:r>
      <w:r w:rsidR="005D5606">
        <w:t xml:space="preserve">  At the time of the snapshot</w:t>
      </w:r>
      <w:r w:rsidR="003F7ACA">
        <w:t xml:space="preserve"> </w:t>
      </w:r>
      <w:r w:rsidR="0024288D">
        <w:t xml:space="preserve">18% of our headcount were </w:t>
      </w:r>
      <w:r w:rsidR="005D5606">
        <w:t xml:space="preserve">Clerical Officers, </w:t>
      </w:r>
      <w:r w:rsidR="0024288D">
        <w:t>o</w:t>
      </w:r>
      <w:r w:rsidR="005D5606">
        <w:t xml:space="preserve">f which </w:t>
      </w:r>
      <w:r w:rsidR="0024288D">
        <w:t xml:space="preserve">78% </w:t>
      </w:r>
      <w:r w:rsidR="005D5606">
        <w:t>were female</w:t>
      </w:r>
      <w:r w:rsidR="003F7ACA">
        <w:t xml:space="preserve"> which </w:t>
      </w:r>
      <w:r w:rsidR="0024288D">
        <w:t xml:space="preserve">also </w:t>
      </w:r>
      <w:r w:rsidR="003F7ACA">
        <w:t>contributed</w:t>
      </w:r>
      <w:r w:rsidR="0024288D">
        <w:t xml:space="preserve"> to the gender pay gap given the significant number of females at entry level grade and pay.  And 24% of our headcount were Principal Officer grade or above, of which 58% were females which c</w:t>
      </w:r>
      <w:r w:rsidR="008A5145" w:rsidRPr="0024288D">
        <w:t>onfirm</w:t>
      </w:r>
      <w:r w:rsidR="0024288D" w:rsidRPr="0024288D">
        <w:t>s</w:t>
      </w:r>
      <w:r w:rsidR="008A5145" w:rsidRPr="0024288D">
        <w:t xml:space="preserve"> that ODPP holds no barrier for career progression of females and continues to be an employer of choice for females at every grade.</w:t>
      </w:r>
    </w:p>
    <w:p w14:paraId="28A94A8B" w14:textId="77777777" w:rsidR="0024288D" w:rsidRDefault="0024288D" w:rsidP="00574B8A">
      <w:pPr>
        <w:pStyle w:val="Heading1"/>
      </w:pPr>
      <w:bookmarkStart w:id="13" w:name="_Toc184637246"/>
    </w:p>
    <w:p w14:paraId="6BBEE689" w14:textId="54465149" w:rsidR="00574B8A" w:rsidRDefault="00574B8A" w:rsidP="00574B8A">
      <w:pPr>
        <w:pStyle w:val="Heading1"/>
      </w:pPr>
      <w:r>
        <w:t>Actions to address Gender Pay Gap</w:t>
      </w:r>
      <w:bookmarkEnd w:id="13"/>
    </w:p>
    <w:p w14:paraId="665F67DE" w14:textId="76BBF576" w:rsidR="002D53A3" w:rsidRDefault="0077193A" w:rsidP="00BF6C54">
      <w:r>
        <w:t xml:space="preserve">The </w:t>
      </w:r>
      <w:r w:rsidR="00160225">
        <w:t>ODPP</w:t>
      </w:r>
      <w:r>
        <w:t xml:space="preserve"> is an inclusive and progressive employer that is responsive to the needs and preferences of its workforce through its employment policies and practices.  The Office provides all employees with equal opportunities for recognition, career development and promotions equality, diversity and inclusion initiatives.  The Office continues to promote Civil Service family friendly policies including </w:t>
      </w:r>
      <w:r w:rsidR="00FC5D11">
        <w:t>Work-sharing</w:t>
      </w:r>
      <w:r>
        <w:t>, Shorter Working Year, Blended Working</w:t>
      </w:r>
      <w:r w:rsidR="00B01653">
        <w:t>, Carers Leave</w:t>
      </w:r>
      <w:r w:rsidR="0024288D">
        <w:t xml:space="preserve"> for male and female employees</w:t>
      </w:r>
      <w:r>
        <w:t xml:space="preserve">.   Our </w:t>
      </w:r>
      <w:r w:rsidR="00160225">
        <w:t>recruitment and promotion competition</w:t>
      </w:r>
      <w:r w:rsidR="0024288D">
        <w:t>s</w:t>
      </w:r>
      <w:r w:rsidR="00160225">
        <w:t xml:space="preserve"> are </w:t>
      </w:r>
      <w:r>
        <w:t xml:space="preserve">in line with </w:t>
      </w:r>
      <w:hyperlink r:id="rId21" w:history="1">
        <w:r w:rsidRPr="005D5606">
          <w:rPr>
            <w:rStyle w:val="Hyperlink"/>
          </w:rPr>
          <w:t xml:space="preserve">Code of Practice for </w:t>
        </w:r>
        <w:r w:rsidR="00160225" w:rsidRPr="005D5606">
          <w:rPr>
            <w:rStyle w:val="Hyperlink"/>
          </w:rPr>
          <w:t>A</w:t>
        </w:r>
        <w:r w:rsidRPr="005D5606">
          <w:rPr>
            <w:rStyle w:val="Hyperlink"/>
          </w:rPr>
          <w:t xml:space="preserve">ppointments to </w:t>
        </w:r>
        <w:r w:rsidR="00160225" w:rsidRPr="005D5606">
          <w:rPr>
            <w:rStyle w:val="Hyperlink"/>
          </w:rPr>
          <w:t>P</w:t>
        </w:r>
        <w:r w:rsidRPr="005D5606">
          <w:rPr>
            <w:rStyle w:val="Hyperlink"/>
          </w:rPr>
          <w:t>ositions in the Civil and Public Service</w:t>
        </w:r>
      </w:hyperlink>
      <w:r>
        <w:t xml:space="preserve"> set out by the Commission for Public Service Appointments (CPSA).  </w:t>
      </w:r>
    </w:p>
    <w:sectPr w:rsidR="002D53A3" w:rsidSect="00B01653">
      <w:headerReference w:type="default" r:id="rId22"/>
      <w:footerReference w:type="default" r:id="rId23"/>
      <w:pgSz w:w="11906" w:h="16838"/>
      <w:pgMar w:top="1588" w:right="1361" w:bottom="1304" w:left="136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4999" w14:textId="77777777" w:rsidR="009379A2" w:rsidRDefault="009379A2" w:rsidP="009379A2">
      <w:pPr>
        <w:spacing w:line="240" w:lineRule="auto"/>
      </w:pPr>
      <w:r>
        <w:separator/>
      </w:r>
    </w:p>
  </w:endnote>
  <w:endnote w:type="continuationSeparator" w:id="0">
    <w:p w14:paraId="4A74436E" w14:textId="77777777" w:rsidR="009379A2" w:rsidRDefault="009379A2" w:rsidP="00937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5705"/>
      <w:docPartObj>
        <w:docPartGallery w:val="Page Numbers (Bottom of Page)"/>
        <w:docPartUnique/>
      </w:docPartObj>
    </w:sdtPr>
    <w:sdtEndPr/>
    <w:sdtContent>
      <w:sdt>
        <w:sdtPr>
          <w:id w:val="-1769616900"/>
          <w:docPartObj>
            <w:docPartGallery w:val="Page Numbers (Top of Page)"/>
            <w:docPartUnique/>
          </w:docPartObj>
        </w:sdtPr>
        <w:sdtEndPr/>
        <w:sdtContent>
          <w:p w14:paraId="3E4D786F" w14:textId="31FF0170" w:rsidR="004C5A84" w:rsidRPr="00E051A0" w:rsidRDefault="00E051A0" w:rsidP="00E051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154A" w14:textId="77777777" w:rsidR="009379A2" w:rsidRDefault="009379A2" w:rsidP="009379A2">
      <w:pPr>
        <w:spacing w:line="240" w:lineRule="auto"/>
      </w:pPr>
      <w:r>
        <w:separator/>
      </w:r>
    </w:p>
  </w:footnote>
  <w:footnote w:type="continuationSeparator" w:id="0">
    <w:p w14:paraId="79C77EFD" w14:textId="77777777" w:rsidR="009379A2" w:rsidRDefault="009379A2" w:rsidP="009379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53B3" w14:textId="46F27045" w:rsidR="00503A2F" w:rsidRPr="00160225" w:rsidRDefault="00503A2F">
    <w:pPr>
      <w:pStyle w:val="Header"/>
      <w:rPr>
        <w:i/>
        <w:iCs/>
      </w:rPr>
    </w:pPr>
    <w:r w:rsidRPr="00160225">
      <w:rPr>
        <w:i/>
        <w:iCs/>
        <w:noProof/>
        <w:lang w:eastAsia="en-IE"/>
      </w:rPr>
      <w:drawing>
        <wp:anchor distT="0" distB="0" distL="114300" distR="114300" simplePos="0" relativeHeight="251658240" behindDoc="1" locked="0" layoutInCell="1" allowOverlap="1" wp14:anchorId="3B43B32F" wp14:editId="3E0F9642">
          <wp:simplePos x="0" y="0"/>
          <wp:positionH relativeFrom="column">
            <wp:posOffset>3322320</wp:posOffset>
          </wp:positionH>
          <wp:positionV relativeFrom="paragraph">
            <wp:posOffset>-207645</wp:posOffset>
          </wp:positionV>
          <wp:extent cx="2981325" cy="473710"/>
          <wp:effectExtent l="0" t="0" r="9525" b="2540"/>
          <wp:wrapTight wrapText="bothSides">
            <wp:wrapPolygon edited="0">
              <wp:start x="0" y="0"/>
              <wp:lineTo x="0" y="20847"/>
              <wp:lineTo x="21531" y="2084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1325" cy="473710"/>
                  </a:xfrm>
                  <a:prstGeom prst="rect">
                    <a:avLst/>
                  </a:prstGeom>
                </pic:spPr>
              </pic:pic>
            </a:graphicData>
          </a:graphic>
          <wp14:sizeRelH relativeFrom="page">
            <wp14:pctWidth>0</wp14:pctWidth>
          </wp14:sizeRelH>
          <wp14:sizeRelV relativeFrom="page">
            <wp14:pctHeight>0</wp14:pctHeight>
          </wp14:sizeRelV>
        </wp:anchor>
      </w:drawing>
    </w:r>
    <w:r w:rsidR="00160225" w:rsidRPr="00160225">
      <w:rPr>
        <w:i/>
        <w:iCs/>
      </w:rPr>
      <w:t>Gender Pay Gap Report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6C9464"/>
    <w:lvl w:ilvl="0">
      <w:numFmt w:val="bullet"/>
      <w:lvlText w:val="*"/>
      <w:lvlJc w:val="left"/>
    </w:lvl>
  </w:abstractNum>
  <w:abstractNum w:abstractNumId="1" w15:restartNumberingAfterBreak="0">
    <w:nsid w:val="18AC3933"/>
    <w:multiLevelType w:val="hybridMultilevel"/>
    <w:tmpl w:val="567418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5D05E5"/>
    <w:multiLevelType w:val="hybridMultilevel"/>
    <w:tmpl w:val="A720FACE"/>
    <w:lvl w:ilvl="0" w:tplc="889E79A6">
      <w:start w:val="1"/>
      <w:numFmt w:val="decimal"/>
      <w:lvlText w:val="%1."/>
      <w:lvlJc w:val="left"/>
      <w:pPr>
        <w:ind w:left="720" w:hanging="720"/>
      </w:pPr>
      <w:rPr>
        <w:rFonts w:ascii="Calibri" w:hAnsi="Calibri" w:hint="default"/>
        <w:b w:val="0"/>
        <w:i w:val="0"/>
        <w:color w:val="1F3864" w:themeColor="accent5" w:themeShade="8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76D389D"/>
    <w:multiLevelType w:val="hybridMultilevel"/>
    <w:tmpl w:val="70EA4E6E"/>
    <w:lvl w:ilvl="0" w:tplc="5CA48334">
      <w:start w:val="1"/>
      <w:numFmt w:val="decimal"/>
      <w:lvlText w:val="%1."/>
      <w:lvlJc w:val="left"/>
      <w:pPr>
        <w:ind w:left="720" w:hanging="360"/>
      </w:pPr>
      <w:rPr>
        <w:rFonts w:hint="default"/>
        <w:b w:val="0"/>
        <w:color w:val="44546A"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736EDA"/>
    <w:multiLevelType w:val="hybridMultilevel"/>
    <w:tmpl w:val="FDA2BA26"/>
    <w:lvl w:ilvl="0" w:tplc="AB50C8EC">
      <w:start w:val="1"/>
      <w:numFmt w:val="decimal"/>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F967BE"/>
    <w:multiLevelType w:val="hybridMultilevel"/>
    <w:tmpl w:val="BB043352"/>
    <w:lvl w:ilvl="0" w:tplc="AB50C8EC">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586F6E73"/>
    <w:multiLevelType w:val="hybridMultilevel"/>
    <w:tmpl w:val="6C0695A0"/>
    <w:lvl w:ilvl="0" w:tplc="889E79A6">
      <w:start w:val="1"/>
      <w:numFmt w:val="decimal"/>
      <w:lvlText w:val="%1."/>
      <w:lvlJc w:val="left"/>
      <w:pPr>
        <w:ind w:left="720" w:hanging="720"/>
      </w:pPr>
      <w:rPr>
        <w:rFonts w:ascii="Calibri" w:hAnsi="Calibri" w:hint="default"/>
        <w:b w:val="0"/>
        <w:i w:val="0"/>
        <w:color w:val="1F3864" w:themeColor="accent5" w:themeShade="8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8B37360"/>
    <w:multiLevelType w:val="hybridMultilevel"/>
    <w:tmpl w:val="0BE0E2CE"/>
    <w:lvl w:ilvl="0" w:tplc="087E4468">
      <w:start w:val="1"/>
      <w:numFmt w:val="bullet"/>
      <w:pStyle w:val="ListParagraph"/>
      <w:lvlText w:val=""/>
      <w:lvlJc w:val="left"/>
      <w:pPr>
        <w:ind w:left="1440" w:hanging="360"/>
      </w:pPr>
      <w:rPr>
        <w:rFonts w:ascii="Symbol" w:hAnsi="Symbol" w:hint="default"/>
        <w:color w:val="00808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776C4DEA"/>
    <w:multiLevelType w:val="hybridMultilevel"/>
    <w:tmpl w:val="92D4564E"/>
    <w:lvl w:ilvl="0" w:tplc="070E23E6">
      <w:start w:val="1"/>
      <w:numFmt w:val="bullet"/>
      <w:lvlText w:val=""/>
      <w:lvlJc w:val="left"/>
      <w:pPr>
        <w:ind w:left="927" w:hanging="360"/>
      </w:pPr>
      <w:rPr>
        <w:rFonts w:ascii="Symbol" w:hAnsi="Symbol" w:hint="default"/>
        <w:color w:val="806000" w:themeColor="accent4" w:themeShade="80"/>
      </w:rPr>
    </w:lvl>
    <w:lvl w:ilvl="1" w:tplc="18090003" w:tentative="1">
      <w:start w:val="1"/>
      <w:numFmt w:val="bullet"/>
      <w:lvlText w:val="o"/>
      <w:lvlJc w:val="left"/>
      <w:pPr>
        <w:ind w:left="2313" w:hanging="360"/>
      </w:pPr>
      <w:rPr>
        <w:rFonts w:ascii="Courier New" w:hAnsi="Courier New" w:cs="Courier New" w:hint="default"/>
      </w:rPr>
    </w:lvl>
    <w:lvl w:ilvl="2" w:tplc="18090005" w:tentative="1">
      <w:start w:val="1"/>
      <w:numFmt w:val="bullet"/>
      <w:lvlText w:val=""/>
      <w:lvlJc w:val="left"/>
      <w:pPr>
        <w:ind w:left="3033" w:hanging="360"/>
      </w:pPr>
      <w:rPr>
        <w:rFonts w:ascii="Wingdings" w:hAnsi="Wingdings" w:hint="default"/>
      </w:rPr>
    </w:lvl>
    <w:lvl w:ilvl="3" w:tplc="18090001" w:tentative="1">
      <w:start w:val="1"/>
      <w:numFmt w:val="bullet"/>
      <w:lvlText w:val=""/>
      <w:lvlJc w:val="left"/>
      <w:pPr>
        <w:ind w:left="3753" w:hanging="360"/>
      </w:pPr>
      <w:rPr>
        <w:rFonts w:ascii="Symbol" w:hAnsi="Symbol" w:hint="default"/>
      </w:rPr>
    </w:lvl>
    <w:lvl w:ilvl="4" w:tplc="18090003" w:tentative="1">
      <w:start w:val="1"/>
      <w:numFmt w:val="bullet"/>
      <w:lvlText w:val="o"/>
      <w:lvlJc w:val="left"/>
      <w:pPr>
        <w:ind w:left="4473" w:hanging="360"/>
      </w:pPr>
      <w:rPr>
        <w:rFonts w:ascii="Courier New" w:hAnsi="Courier New" w:cs="Courier New" w:hint="default"/>
      </w:rPr>
    </w:lvl>
    <w:lvl w:ilvl="5" w:tplc="18090005" w:tentative="1">
      <w:start w:val="1"/>
      <w:numFmt w:val="bullet"/>
      <w:lvlText w:val=""/>
      <w:lvlJc w:val="left"/>
      <w:pPr>
        <w:ind w:left="5193" w:hanging="360"/>
      </w:pPr>
      <w:rPr>
        <w:rFonts w:ascii="Wingdings" w:hAnsi="Wingdings" w:hint="default"/>
      </w:rPr>
    </w:lvl>
    <w:lvl w:ilvl="6" w:tplc="18090001" w:tentative="1">
      <w:start w:val="1"/>
      <w:numFmt w:val="bullet"/>
      <w:lvlText w:val=""/>
      <w:lvlJc w:val="left"/>
      <w:pPr>
        <w:ind w:left="5913" w:hanging="360"/>
      </w:pPr>
      <w:rPr>
        <w:rFonts w:ascii="Symbol" w:hAnsi="Symbol" w:hint="default"/>
      </w:rPr>
    </w:lvl>
    <w:lvl w:ilvl="7" w:tplc="18090003" w:tentative="1">
      <w:start w:val="1"/>
      <w:numFmt w:val="bullet"/>
      <w:lvlText w:val="o"/>
      <w:lvlJc w:val="left"/>
      <w:pPr>
        <w:ind w:left="6633" w:hanging="360"/>
      </w:pPr>
      <w:rPr>
        <w:rFonts w:ascii="Courier New" w:hAnsi="Courier New" w:cs="Courier New" w:hint="default"/>
      </w:rPr>
    </w:lvl>
    <w:lvl w:ilvl="8" w:tplc="18090005" w:tentative="1">
      <w:start w:val="1"/>
      <w:numFmt w:val="bullet"/>
      <w:lvlText w:val=""/>
      <w:lvlJc w:val="left"/>
      <w:pPr>
        <w:ind w:left="7353" w:hanging="360"/>
      </w:pPr>
      <w:rPr>
        <w:rFonts w:ascii="Wingdings" w:hAnsi="Wingdings" w:hint="default"/>
      </w:rPr>
    </w:lvl>
  </w:abstractNum>
  <w:abstractNum w:abstractNumId="9" w15:restartNumberingAfterBreak="0">
    <w:nsid w:val="7A810800"/>
    <w:multiLevelType w:val="hybridMultilevel"/>
    <w:tmpl w:val="46CC8A9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594320178">
    <w:abstractNumId w:val="1"/>
  </w:num>
  <w:num w:numId="2" w16cid:durableId="2008247967">
    <w:abstractNumId w:val="5"/>
  </w:num>
  <w:num w:numId="3" w16cid:durableId="851453064">
    <w:abstractNumId w:val="4"/>
  </w:num>
  <w:num w:numId="4" w16cid:durableId="953823952">
    <w:abstractNumId w:val="6"/>
  </w:num>
  <w:num w:numId="5" w16cid:durableId="1318610910">
    <w:abstractNumId w:val="2"/>
  </w:num>
  <w:num w:numId="6" w16cid:durableId="914511940">
    <w:abstractNumId w:val="0"/>
    <w:lvlOverride w:ilvl="0">
      <w:lvl w:ilvl="0">
        <w:numFmt w:val="bullet"/>
        <w:lvlText w:val=""/>
        <w:legacy w:legacy="1" w:legacySpace="0" w:legacyIndent="0"/>
        <w:lvlJc w:val="left"/>
        <w:rPr>
          <w:rFonts w:ascii="Symbol" w:hAnsi="Symbol" w:hint="default"/>
          <w:color w:val="44546A" w:themeColor="text2"/>
          <w:sz w:val="22"/>
        </w:rPr>
      </w:lvl>
    </w:lvlOverride>
  </w:num>
  <w:num w:numId="7" w16cid:durableId="1932005352">
    <w:abstractNumId w:val="9"/>
  </w:num>
  <w:num w:numId="8" w16cid:durableId="321541091">
    <w:abstractNumId w:val="3"/>
  </w:num>
  <w:num w:numId="9" w16cid:durableId="710232459">
    <w:abstractNumId w:val="8"/>
  </w:num>
  <w:num w:numId="10" w16cid:durableId="547840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B4"/>
    <w:rsid w:val="00001F74"/>
    <w:rsid w:val="000A052E"/>
    <w:rsid w:val="000A1D4D"/>
    <w:rsid w:val="000C53CB"/>
    <w:rsid w:val="000D213A"/>
    <w:rsid w:val="000D2473"/>
    <w:rsid w:val="00113F38"/>
    <w:rsid w:val="00134DD9"/>
    <w:rsid w:val="00160225"/>
    <w:rsid w:val="001727BA"/>
    <w:rsid w:val="00185CBE"/>
    <w:rsid w:val="00191FFA"/>
    <w:rsid w:val="00197FD7"/>
    <w:rsid w:val="001D48BB"/>
    <w:rsid w:val="001E39F8"/>
    <w:rsid w:val="0020245D"/>
    <w:rsid w:val="00224AE3"/>
    <w:rsid w:val="002360C7"/>
    <w:rsid w:val="0024288D"/>
    <w:rsid w:val="002518B0"/>
    <w:rsid w:val="00262FF0"/>
    <w:rsid w:val="002D53A3"/>
    <w:rsid w:val="002F6DA4"/>
    <w:rsid w:val="003007AF"/>
    <w:rsid w:val="00360B7C"/>
    <w:rsid w:val="00392405"/>
    <w:rsid w:val="003E5FE2"/>
    <w:rsid w:val="003F603D"/>
    <w:rsid w:val="003F7ACA"/>
    <w:rsid w:val="0041030D"/>
    <w:rsid w:val="004415B6"/>
    <w:rsid w:val="00453930"/>
    <w:rsid w:val="00461DCA"/>
    <w:rsid w:val="00466C05"/>
    <w:rsid w:val="004A1722"/>
    <w:rsid w:val="004A1F49"/>
    <w:rsid w:val="004C5A84"/>
    <w:rsid w:val="004C61E9"/>
    <w:rsid w:val="004D4B90"/>
    <w:rsid w:val="004E4281"/>
    <w:rsid w:val="004E608E"/>
    <w:rsid w:val="00501D50"/>
    <w:rsid w:val="00503A2F"/>
    <w:rsid w:val="00551CA7"/>
    <w:rsid w:val="005622AC"/>
    <w:rsid w:val="00566276"/>
    <w:rsid w:val="00573721"/>
    <w:rsid w:val="00574B8A"/>
    <w:rsid w:val="00590184"/>
    <w:rsid w:val="005C5D5C"/>
    <w:rsid w:val="005D3DAB"/>
    <w:rsid w:val="005D5606"/>
    <w:rsid w:val="005E3905"/>
    <w:rsid w:val="00611089"/>
    <w:rsid w:val="006214C0"/>
    <w:rsid w:val="00623C12"/>
    <w:rsid w:val="006430B8"/>
    <w:rsid w:val="00660B2F"/>
    <w:rsid w:val="00672BAD"/>
    <w:rsid w:val="00673167"/>
    <w:rsid w:val="00674942"/>
    <w:rsid w:val="00687A73"/>
    <w:rsid w:val="0069460F"/>
    <w:rsid w:val="00694B7C"/>
    <w:rsid w:val="00696651"/>
    <w:rsid w:val="00697656"/>
    <w:rsid w:val="006C0681"/>
    <w:rsid w:val="006E4C0C"/>
    <w:rsid w:val="00713EAD"/>
    <w:rsid w:val="007371F8"/>
    <w:rsid w:val="0073774E"/>
    <w:rsid w:val="00756D75"/>
    <w:rsid w:val="0077193A"/>
    <w:rsid w:val="00782F51"/>
    <w:rsid w:val="007B0A76"/>
    <w:rsid w:val="007F5480"/>
    <w:rsid w:val="00817002"/>
    <w:rsid w:val="0087400B"/>
    <w:rsid w:val="00887B22"/>
    <w:rsid w:val="008A5145"/>
    <w:rsid w:val="008C1E9A"/>
    <w:rsid w:val="008D37EB"/>
    <w:rsid w:val="008E1027"/>
    <w:rsid w:val="008E6C1B"/>
    <w:rsid w:val="008F2F7C"/>
    <w:rsid w:val="008F575E"/>
    <w:rsid w:val="008F690C"/>
    <w:rsid w:val="0090490B"/>
    <w:rsid w:val="00905DFE"/>
    <w:rsid w:val="00911F1A"/>
    <w:rsid w:val="00933F37"/>
    <w:rsid w:val="009379A2"/>
    <w:rsid w:val="00995EE6"/>
    <w:rsid w:val="009A0A3E"/>
    <w:rsid w:val="009A1E42"/>
    <w:rsid w:val="009F17D6"/>
    <w:rsid w:val="009F44A2"/>
    <w:rsid w:val="00A05894"/>
    <w:rsid w:val="00A12343"/>
    <w:rsid w:val="00A51136"/>
    <w:rsid w:val="00A51B61"/>
    <w:rsid w:val="00A626E5"/>
    <w:rsid w:val="00A6280E"/>
    <w:rsid w:val="00A87A46"/>
    <w:rsid w:val="00AB0AF5"/>
    <w:rsid w:val="00AD5084"/>
    <w:rsid w:val="00AD65BD"/>
    <w:rsid w:val="00B01653"/>
    <w:rsid w:val="00B046F5"/>
    <w:rsid w:val="00B1342B"/>
    <w:rsid w:val="00B337D1"/>
    <w:rsid w:val="00B45DD1"/>
    <w:rsid w:val="00B4785E"/>
    <w:rsid w:val="00B509D9"/>
    <w:rsid w:val="00B91B4E"/>
    <w:rsid w:val="00BB2311"/>
    <w:rsid w:val="00BB7D4C"/>
    <w:rsid w:val="00BC62CE"/>
    <w:rsid w:val="00BD23D3"/>
    <w:rsid w:val="00BF0F9C"/>
    <w:rsid w:val="00BF13EB"/>
    <w:rsid w:val="00BF6C54"/>
    <w:rsid w:val="00C03CA6"/>
    <w:rsid w:val="00C070BD"/>
    <w:rsid w:val="00C606F0"/>
    <w:rsid w:val="00C66F12"/>
    <w:rsid w:val="00C75308"/>
    <w:rsid w:val="00D27012"/>
    <w:rsid w:val="00D74CB4"/>
    <w:rsid w:val="00D84D9E"/>
    <w:rsid w:val="00DA65DB"/>
    <w:rsid w:val="00DC28B0"/>
    <w:rsid w:val="00E03976"/>
    <w:rsid w:val="00E051A0"/>
    <w:rsid w:val="00E07257"/>
    <w:rsid w:val="00E12980"/>
    <w:rsid w:val="00E2251D"/>
    <w:rsid w:val="00E415B0"/>
    <w:rsid w:val="00E46618"/>
    <w:rsid w:val="00E5323D"/>
    <w:rsid w:val="00E72CA1"/>
    <w:rsid w:val="00E76CCF"/>
    <w:rsid w:val="00EA15BA"/>
    <w:rsid w:val="00EB1FF1"/>
    <w:rsid w:val="00EB242D"/>
    <w:rsid w:val="00EB3A35"/>
    <w:rsid w:val="00EB646E"/>
    <w:rsid w:val="00ED3611"/>
    <w:rsid w:val="00F10F1D"/>
    <w:rsid w:val="00F31981"/>
    <w:rsid w:val="00F70995"/>
    <w:rsid w:val="00F842D3"/>
    <w:rsid w:val="00F879CD"/>
    <w:rsid w:val="00FB2F9C"/>
    <w:rsid w:val="00FB32A6"/>
    <w:rsid w:val="00FB79E9"/>
    <w:rsid w:val="00FC5D11"/>
    <w:rsid w:val="00FC7BB4"/>
    <w:rsid w:val="00FE49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A85AF4"/>
  <w15:chartTrackingRefBased/>
  <w15:docId w15:val="{7592B2E7-CCDE-4AEC-8428-E061F7B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56"/>
    <w:pPr>
      <w:spacing w:after="200" w:line="269" w:lineRule="auto"/>
      <w:jc w:val="both"/>
    </w:pPr>
  </w:style>
  <w:style w:type="paragraph" w:styleId="Heading1">
    <w:name w:val="heading 1"/>
    <w:basedOn w:val="Normal"/>
    <w:next w:val="Normal"/>
    <w:link w:val="Heading1Char"/>
    <w:uiPriority w:val="9"/>
    <w:qFormat/>
    <w:rsid w:val="00697656"/>
    <w:pPr>
      <w:keepNext/>
      <w:keepLines/>
      <w:pBdr>
        <w:bottom w:val="single" w:sz="4" w:space="3" w:color="8EAADB" w:themeColor="accent5" w:themeTint="99"/>
      </w:pBdr>
      <w:spacing w:after="120"/>
      <w:outlineLvl w:val="0"/>
    </w:pPr>
    <w:rPr>
      <w:rFonts w:asciiTheme="majorHAnsi" w:eastAsiaTheme="majorEastAsia" w:hAnsiTheme="majorHAnsi" w:cstheme="majorBidi"/>
      <w:b/>
      <w:color w:val="008080"/>
      <w:sz w:val="26"/>
      <w:szCs w:val="32"/>
    </w:rPr>
  </w:style>
  <w:style w:type="paragraph" w:styleId="Heading2">
    <w:name w:val="heading 2"/>
    <w:basedOn w:val="Normal"/>
    <w:next w:val="Normal"/>
    <w:link w:val="Heading2Char"/>
    <w:uiPriority w:val="9"/>
    <w:unhideWhenUsed/>
    <w:qFormat/>
    <w:rsid w:val="00697656"/>
    <w:pPr>
      <w:keepNext/>
      <w:keepLines/>
      <w:outlineLvl w:val="1"/>
    </w:pPr>
    <w:rPr>
      <w:rFonts w:asciiTheme="majorHAnsi" w:eastAsiaTheme="majorEastAsia" w:hAnsiTheme="majorHAnsi" w:cstheme="majorBidi"/>
      <w:b/>
      <w:color w:val="2F5496" w:themeColor="accent5" w:themeShade="BF"/>
      <w:sz w:val="24"/>
      <w:szCs w:val="26"/>
    </w:rPr>
  </w:style>
  <w:style w:type="paragraph" w:styleId="Heading3">
    <w:name w:val="heading 3"/>
    <w:basedOn w:val="Normal"/>
    <w:next w:val="Normal"/>
    <w:link w:val="Heading3Char"/>
    <w:uiPriority w:val="9"/>
    <w:semiHidden/>
    <w:unhideWhenUsed/>
    <w:rsid w:val="00BF6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FC7B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ListParagraph">
    <w:name w:val="List Paragraph"/>
    <w:aliases w:val="BulletPoints"/>
    <w:basedOn w:val="Normal"/>
    <w:uiPriority w:val="34"/>
    <w:qFormat/>
    <w:rsid w:val="00697656"/>
    <w:pPr>
      <w:numPr>
        <w:numId w:val="10"/>
      </w:numPr>
      <w:ind w:left="681" w:hanging="284"/>
    </w:pPr>
  </w:style>
  <w:style w:type="character" w:styleId="Hyperlink">
    <w:name w:val="Hyperlink"/>
    <w:basedOn w:val="DefaultParagraphFont"/>
    <w:uiPriority w:val="99"/>
    <w:unhideWhenUsed/>
    <w:rsid w:val="001D48BB"/>
    <w:rPr>
      <w:color w:val="0563C1" w:themeColor="hyperlink"/>
      <w:u w:val="single"/>
    </w:rPr>
  </w:style>
  <w:style w:type="character" w:customStyle="1" w:styleId="Heading2Char">
    <w:name w:val="Heading 2 Char"/>
    <w:basedOn w:val="DefaultParagraphFont"/>
    <w:link w:val="Heading2"/>
    <w:uiPriority w:val="9"/>
    <w:rsid w:val="00697656"/>
    <w:rPr>
      <w:rFonts w:asciiTheme="majorHAnsi" w:eastAsiaTheme="majorEastAsia" w:hAnsiTheme="majorHAnsi" w:cstheme="majorBidi"/>
      <w:b/>
      <w:color w:val="2F5496" w:themeColor="accent5" w:themeShade="BF"/>
      <w:sz w:val="24"/>
      <w:szCs w:val="26"/>
    </w:rPr>
  </w:style>
  <w:style w:type="paragraph" w:styleId="Title">
    <w:name w:val="Title"/>
    <w:basedOn w:val="Normal"/>
    <w:next w:val="Normal"/>
    <w:link w:val="TitleChar"/>
    <w:uiPriority w:val="10"/>
    <w:qFormat/>
    <w:rsid w:val="00BF6C54"/>
    <w:pPr>
      <w:spacing w:line="240" w:lineRule="auto"/>
      <w:contextualSpacing/>
      <w:jc w:val="center"/>
    </w:pPr>
    <w:rPr>
      <w:rFonts w:eastAsiaTheme="majorEastAsia" w:cstheme="majorBidi"/>
      <w:b/>
      <w:color w:val="008080"/>
      <w:spacing w:val="-10"/>
      <w:kern w:val="28"/>
      <w:sz w:val="36"/>
      <w:szCs w:val="56"/>
    </w:rPr>
  </w:style>
  <w:style w:type="character" w:customStyle="1" w:styleId="TitleChar">
    <w:name w:val="Title Char"/>
    <w:basedOn w:val="DefaultParagraphFont"/>
    <w:link w:val="Title"/>
    <w:uiPriority w:val="10"/>
    <w:rsid w:val="00BF6C54"/>
    <w:rPr>
      <w:rFonts w:eastAsiaTheme="majorEastAsia" w:cstheme="majorBidi"/>
      <w:b/>
      <w:color w:val="008080"/>
      <w:spacing w:val="-10"/>
      <w:kern w:val="28"/>
      <w:sz w:val="36"/>
      <w:szCs w:val="56"/>
    </w:rPr>
  </w:style>
  <w:style w:type="character" w:customStyle="1" w:styleId="Heading1Char">
    <w:name w:val="Heading 1 Char"/>
    <w:basedOn w:val="DefaultParagraphFont"/>
    <w:link w:val="Heading1"/>
    <w:uiPriority w:val="9"/>
    <w:rsid w:val="00697656"/>
    <w:rPr>
      <w:rFonts w:asciiTheme="majorHAnsi" w:eastAsiaTheme="majorEastAsia" w:hAnsiTheme="majorHAnsi" w:cstheme="majorBidi"/>
      <w:b/>
      <w:color w:val="008080"/>
      <w:sz w:val="26"/>
      <w:szCs w:val="32"/>
    </w:rPr>
  </w:style>
  <w:style w:type="paragraph" w:styleId="FootnoteText">
    <w:name w:val="footnote text"/>
    <w:basedOn w:val="Normal"/>
    <w:link w:val="FootnoteTextChar"/>
    <w:uiPriority w:val="99"/>
    <w:semiHidden/>
    <w:unhideWhenUsed/>
    <w:rsid w:val="009379A2"/>
    <w:pPr>
      <w:spacing w:line="240" w:lineRule="auto"/>
    </w:pPr>
    <w:rPr>
      <w:sz w:val="20"/>
      <w:szCs w:val="20"/>
    </w:rPr>
  </w:style>
  <w:style w:type="character" w:customStyle="1" w:styleId="FootnoteTextChar">
    <w:name w:val="Footnote Text Char"/>
    <w:basedOn w:val="DefaultParagraphFont"/>
    <w:link w:val="FootnoteText"/>
    <w:uiPriority w:val="99"/>
    <w:semiHidden/>
    <w:rsid w:val="009379A2"/>
    <w:rPr>
      <w:sz w:val="20"/>
      <w:szCs w:val="20"/>
    </w:rPr>
  </w:style>
  <w:style w:type="character" w:styleId="FootnoteReference">
    <w:name w:val="footnote reference"/>
    <w:basedOn w:val="DefaultParagraphFont"/>
    <w:uiPriority w:val="99"/>
    <w:semiHidden/>
    <w:unhideWhenUsed/>
    <w:rsid w:val="009379A2"/>
    <w:rPr>
      <w:vertAlign w:val="superscript"/>
    </w:rPr>
  </w:style>
  <w:style w:type="paragraph" w:styleId="Header">
    <w:name w:val="header"/>
    <w:basedOn w:val="Normal"/>
    <w:link w:val="HeaderChar"/>
    <w:uiPriority w:val="99"/>
    <w:unhideWhenUsed/>
    <w:rsid w:val="004C5A84"/>
    <w:pPr>
      <w:tabs>
        <w:tab w:val="center" w:pos="4513"/>
        <w:tab w:val="right" w:pos="9026"/>
      </w:tabs>
      <w:spacing w:line="240" w:lineRule="auto"/>
    </w:pPr>
  </w:style>
  <w:style w:type="character" w:customStyle="1" w:styleId="HeaderChar">
    <w:name w:val="Header Char"/>
    <w:basedOn w:val="DefaultParagraphFont"/>
    <w:link w:val="Header"/>
    <w:uiPriority w:val="99"/>
    <w:rsid w:val="004C5A84"/>
  </w:style>
  <w:style w:type="paragraph" w:styleId="Footer">
    <w:name w:val="footer"/>
    <w:basedOn w:val="Normal"/>
    <w:link w:val="FooterChar"/>
    <w:uiPriority w:val="99"/>
    <w:unhideWhenUsed/>
    <w:rsid w:val="004C5A84"/>
    <w:pPr>
      <w:tabs>
        <w:tab w:val="center" w:pos="4513"/>
        <w:tab w:val="right" w:pos="9026"/>
      </w:tabs>
      <w:spacing w:line="240" w:lineRule="auto"/>
    </w:pPr>
  </w:style>
  <w:style w:type="character" w:customStyle="1" w:styleId="FooterChar">
    <w:name w:val="Footer Char"/>
    <w:basedOn w:val="DefaultParagraphFont"/>
    <w:link w:val="Footer"/>
    <w:uiPriority w:val="99"/>
    <w:rsid w:val="004C5A84"/>
  </w:style>
  <w:style w:type="character" w:styleId="FollowedHyperlink">
    <w:name w:val="FollowedHyperlink"/>
    <w:basedOn w:val="DefaultParagraphFont"/>
    <w:uiPriority w:val="99"/>
    <w:semiHidden/>
    <w:unhideWhenUsed/>
    <w:rsid w:val="007371F8"/>
    <w:rPr>
      <w:color w:val="954F72" w:themeColor="followedHyperlink"/>
      <w:u w:val="single"/>
    </w:rPr>
  </w:style>
  <w:style w:type="paragraph" w:styleId="Subtitle">
    <w:name w:val="Subtitle"/>
    <w:basedOn w:val="Normal"/>
    <w:next w:val="Normal"/>
    <w:link w:val="SubtitleChar"/>
    <w:uiPriority w:val="11"/>
    <w:rsid w:val="00A0589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5894"/>
    <w:rPr>
      <w:rFonts w:eastAsiaTheme="minorEastAsia"/>
      <w:color w:val="5A5A5A" w:themeColor="text1" w:themeTint="A5"/>
      <w:spacing w:val="15"/>
    </w:rPr>
  </w:style>
  <w:style w:type="paragraph" w:styleId="NoSpacing">
    <w:name w:val="No Spacing"/>
    <w:link w:val="NoSpacingChar"/>
    <w:uiPriority w:val="1"/>
    <w:qFormat/>
    <w:rsid w:val="00AD65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65BD"/>
    <w:rPr>
      <w:rFonts w:eastAsiaTheme="minorEastAsia"/>
      <w:lang w:val="en-US"/>
    </w:rPr>
  </w:style>
  <w:style w:type="paragraph" w:styleId="Quote">
    <w:name w:val="Quote"/>
    <w:aliases w:val="Citation"/>
    <w:basedOn w:val="Normal"/>
    <w:next w:val="Normal"/>
    <w:link w:val="QuoteChar"/>
    <w:uiPriority w:val="29"/>
    <w:qFormat/>
    <w:rsid w:val="00697656"/>
    <w:pPr>
      <w:spacing w:line="264" w:lineRule="auto"/>
      <w:jc w:val="left"/>
    </w:pPr>
    <w:rPr>
      <w:i/>
      <w:iCs/>
    </w:rPr>
  </w:style>
  <w:style w:type="character" w:customStyle="1" w:styleId="QuoteChar">
    <w:name w:val="Quote Char"/>
    <w:aliases w:val="Citation Char"/>
    <w:basedOn w:val="DefaultParagraphFont"/>
    <w:link w:val="Quote"/>
    <w:uiPriority w:val="29"/>
    <w:rsid w:val="00697656"/>
    <w:rPr>
      <w:i/>
      <w:iCs/>
    </w:rPr>
  </w:style>
  <w:style w:type="table" w:styleId="GridTable5Dark-Accent1">
    <w:name w:val="Grid Table 5 Dark Accent 1"/>
    <w:basedOn w:val="TableNormal"/>
    <w:uiPriority w:val="50"/>
    <w:rsid w:val="00BF6C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6">
    <w:name w:val="Grid Table 5 Dark Accent 6"/>
    <w:basedOn w:val="TableNormal"/>
    <w:uiPriority w:val="50"/>
    <w:rsid w:val="00BF6C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4">
    <w:name w:val="Grid Table 1 Light Accent 4"/>
    <w:basedOn w:val="TableNormal"/>
    <w:uiPriority w:val="46"/>
    <w:rsid w:val="00BF6C5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F6C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BF6C54"/>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BF6C54"/>
    <w:pPr>
      <w:spacing w:before="360" w:after="0"/>
      <w:jc w:val="left"/>
    </w:pPr>
    <w:rPr>
      <w:rFonts w:asciiTheme="majorHAnsi" w:hAnsiTheme="majorHAnsi"/>
      <w:b/>
      <w:bCs/>
      <w:caps/>
      <w:sz w:val="24"/>
      <w:szCs w:val="24"/>
    </w:rPr>
  </w:style>
  <w:style w:type="paragraph" w:styleId="TOC2">
    <w:name w:val="toc 2"/>
    <w:basedOn w:val="Normal"/>
    <w:next w:val="Normal"/>
    <w:autoRedefine/>
    <w:uiPriority w:val="39"/>
    <w:unhideWhenUsed/>
    <w:rsid w:val="00BF6C54"/>
    <w:pPr>
      <w:tabs>
        <w:tab w:val="right" w:leader="dot" w:pos="9016"/>
      </w:tabs>
      <w:spacing w:before="240" w:after="0"/>
      <w:ind w:left="283"/>
      <w:jc w:val="left"/>
    </w:pPr>
    <w:rPr>
      <w:b/>
      <w:bCs/>
      <w:sz w:val="20"/>
      <w:szCs w:val="20"/>
    </w:rPr>
  </w:style>
  <w:style w:type="paragraph" w:styleId="TOC3">
    <w:name w:val="toc 3"/>
    <w:basedOn w:val="Normal"/>
    <w:next w:val="Normal"/>
    <w:autoRedefine/>
    <w:uiPriority w:val="39"/>
    <w:unhideWhenUsed/>
    <w:rsid w:val="00BF6C54"/>
    <w:pPr>
      <w:spacing w:after="0"/>
      <w:ind w:left="220"/>
      <w:jc w:val="left"/>
    </w:pPr>
    <w:rPr>
      <w:sz w:val="20"/>
      <w:szCs w:val="20"/>
    </w:rPr>
  </w:style>
  <w:style w:type="paragraph" w:styleId="TOC4">
    <w:name w:val="toc 4"/>
    <w:basedOn w:val="Normal"/>
    <w:next w:val="Normal"/>
    <w:autoRedefine/>
    <w:uiPriority w:val="39"/>
    <w:unhideWhenUsed/>
    <w:rsid w:val="00BF6C54"/>
    <w:pPr>
      <w:spacing w:after="0"/>
      <w:ind w:left="440"/>
      <w:jc w:val="left"/>
    </w:pPr>
    <w:rPr>
      <w:sz w:val="20"/>
      <w:szCs w:val="20"/>
    </w:rPr>
  </w:style>
  <w:style w:type="paragraph" w:styleId="TOC5">
    <w:name w:val="toc 5"/>
    <w:basedOn w:val="Normal"/>
    <w:next w:val="Normal"/>
    <w:autoRedefine/>
    <w:uiPriority w:val="39"/>
    <w:unhideWhenUsed/>
    <w:rsid w:val="00BF6C54"/>
    <w:pPr>
      <w:spacing w:after="0"/>
      <w:ind w:left="660"/>
      <w:jc w:val="left"/>
    </w:pPr>
    <w:rPr>
      <w:sz w:val="20"/>
      <w:szCs w:val="20"/>
    </w:rPr>
  </w:style>
  <w:style w:type="paragraph" w:styleId="TOC6">
    <w:name w:val="toc 6"/>
    <w:basedOn w:val="Normal"/>
    <w:next w:val="Normal"/>
    <w:autoRedefine/>
    <w:uiPriority w:val="39"/>
    <w:unhideWhenUsed/>
    <w:rsid w:val="00BF6C54"/>
    <w:pPr>
      <w:spacing w:after="0"/>
      <w:ind w:left="880"/>
      <w:jc w:val="left"/>
    </w:pPr>
    <w:rPr>
      <w:sz w:val="20"/>
      <w:szCs w:val="20"/>
    </w:rPr>
  </w:style>
  <w:style w:type="paragraph" w:styleId="TOC7">
    <w:name w:val="toc 7"/>
    <w:basedOn w:val="Normal"/>
    <w:next w:val="Normal"/>
    <w:autoRedefine/>
    <w:uiPriority w:val="39"/>
    <w:unhideWhenUsed/>
    <w:rsid w:val="00BF6C54"/>
    <w:pPr>
      <w:spacing w:after="0"/>
      <w:ind w:left="1100"/>
      <w:jc w:val="left"/>
    </w:pPr>
    <w:rPr>
      <w:sz w:val="20"/>
      <w:szCs w:val="20"/>
    </w:rPr>
  </w:style>
  <w:style w:type="paragraph" w:styleId="TOC8">
    <w:name w:val="toc 8"/>
    <w:basedOn w:val="Normal"/>
    <w:next w:val="Normal"/>
    <w:autoRedefine/>
    <w:uiPriority w:val="39"/>
    <w:unhideWhenUsed/>
    <w:rsid w:val="00BF6C54"/>
    <w:pPr>
      <w:spacing w:after="0"/>
      <w:ind w:left="1320"/>
      <w:jc w:val="left"/>
    </w:pPr>
    <w:rPr>
      <w:sz w:val="20"/>
      <w:szCs w:val="20"/>
    </w:rPr>
  </w:style>
  <w:style w:type="paragraph" w:styleId="TOC9">
    <w:name w:val="toc 9"/>
    <w:basedOn w:val="Normal"/>
    <w:next w:val="Normal"/>
    <w:autoRedefine/>
    <w:uiPriority w:val="39"/>
    <w:unhideWhenUsed/>
    <w:rsid w:val="00BF6C54"/>
    <w:pPr>
      <w:spacing w:after="0"/>
      <w:ind w:left="1540"/>
      <w:jc w:val="left"/>
    </w:pPr>
    <w:rPr>
      <w:sz w:val="20"/>
      <w:szCs w:val="20"/>
    </w:rPr>
  </w:style>
  <w:style w:type="character" w:styleId="UnresolvedMention">
    <w:name w:val="Unresolved Mention"/>
    <w:basedOn w:val="DefaultParagraphFont"/>
    <w:uiPriority w:val="99"/>
    <w:semiHidden/>
    <w:unhideWhenUsed/>
    <w:rsid w:val="002D53A3"/>
    <w:rPr>
      <w:color w:val="605E5C"/>
      <w:shd w:val="clear" w:color="auto" w:fill="E1DFDD"/>
    </w:rPr>
  </w:style>
  <w:style w:type="paragraph" w:customStyle="1" w:styleId="CCPCPlainText">
    <w:name w:val="CCPC Plain Text"/>
    <w:rsid w:val="0077193A"/>
    <w:pPr>
      <w:spacing w:before="240" w:after="240" w:line="360" w:lineRule="auto"/>
      <w:jc w:val="both"/>
    </w:pPr>
    <w:rPr>
      <w:rFonts w:eastAsia="Times New Roman" w:cs="Arial"/>
      <w:bCs/>
      <w:kern w:val="32"/>
      <w:szCs w:val="32"/>
      <w:lang w:val="en-GB" w:eastAsia="en-GB"/>
    </w:rPr>
  </w:style>
  <w:style w:type="character" w:styleId="CommentReference">
    <w:name w:val="annotation reference"/>
    <w:basedOn w:val="DefaultParagraphFont"/>
    <w:uiPriority w:val="99"/>
    <w:semiHidden/>
    <w:unhideWhenUsed/>
    <w:rsid w:val="00160225"/>
    <w:rPr>
      <w:sz w:val="16"/>
      <w:szCs w:val="16"/>
    </w:rPr>
  </w:style>
  <w:style w:type="paragraph" w:styleId="CommentText">
    <w:name w:val="annotation text"/>
    <w:basedOn w:val="Normal"/>
    <w:link w:val="CommentTextChar"/>
    <w:uiPriority w:val="99"/>
    <w:unhideWhenUsed/>
    <w:rsid w:val="00160225"/>
    <w:pPr>
      <w:spacing w:line="240" w:lineRule="auto"/>
    </w:pPr>
    <w:rPr>
      <w:sz w:val="20"/>
      <w:szCs w:val="20"/>
    </w:rPr>
  </w:style>
  <w:style w:type="character" w:customStyle="1" w:styleId="CommentTextChar">
    <w:name w:val="Comment Text Char"/>
    <w:basedOn w:val="DefaultParagraphFont"/>
    <w:link w:val="CommentText"/>
    <w:uiPriority w:val="99"/>
    <w:rsid w:val="00160225"/>
    <w:rPr>
      <w:sz w:val="20"/>
      <w:szCs w:val="20"/>
    </w:rPr>
  </w:style>
  <w:style w:type="paragraph" w:styleId="CommentSubject">
    <w:name w:val="annotation subject"/>
    <w:basedOn w:val="CommentText"/>
    <w:next w:val="CommentText"/>
    <w:link w:val="CommentSubjectChar"/>
    <w:uiPriority w:val="99"/>
    <w:semiHidden/>
    <w:unhideWhenUsed/>
    <w:rsid w:val="00160225"/>
    <w:rPr>
      <w:b/>
      <w:bCs/>
    </w:rPr>
  </w:style>
  <w:style w:type="character" w:customStyle="1" w:styleId="CommentSubjectChar">
    <w:name w:val="Comment Subject Char"/>
    <w:basedOn w:val="CommentTextChar"/>
    <w:link w:val="CommentSubject"/>
    <w:uiPriority w:val="99"/>
    <w:semiHidden/>
    <w:rsid w:val="00160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rishstatutebook.ie/eli/2021/act/20/enacted/en/html" TargetMode="External"/><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hyperlink" Target="https://www.cpsa.ie/en/collection/8c53f-code-of-practice/"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PFILESTORE\personnel_data\EDI\Gender%20Pay%20Gap\2024\HR%20Databank%20Report\2024.11.01%20Gender%20Analysis%20June%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E" cap="none">
                <a:latin typeface="+mn-lt"/>
              </a:rPr>
              <a:t>Headcount at 21 June 2024</a:t>
            </a:r>
            <a:endParaRPr lang="en-IE">
              <a:latin typeface="+mn-lt"/>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33401803035489"/>
          <c:y val="0.4097820955833758"/>
          <c:w val="0.59530297843204383"/>
          <c:h val="0.4925168526596046"/>
        </c:manualLayout>
      </c:layout>
      <c:doughnutChart>
        <c:varyColors val="1"/>
        <c:ser>
          <c:idx val="0"/>
          <c:order val="0"/>
          <c:tx>
            <c:strRef>
              <c:f>Charts!$A$2</c:f>
              <c:strCache>
                <c:ptCount val="1"/>
                <c:pt idx="0">
                  <c:v>Overall</c:v>
                </c:pt>
              </c:strCache>
            </c:strRef>
          </c:tx>
          <c:spPr>
            <a:solidFill>
              <a:schemeClr val="tx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FA-42DD-AE0B-ED7E1F1BD85E}"/>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FA-42DD-AE0B-ED7E1F1BD85E}"/>
              </c:ext>
            </c:extLst>
          </c:dPt>
          <c:dLbls>
            <c:dLbl>
              <c:idx val="0"/>
              <c:tx>
                <c:rich>
                  <a:bodyPr/>
                  <a:lstStyle/>
                  <a:p>
                    <a:fld id="{993523D0-0328-4464-93AB-E3F5585BDEE2}"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FA-42DD-AE0B-ED7E1F1BD85E}"/>
                </c:ext>
              </c:extLst>
            </c:dLbl>
            <c:dLbl>
              <c:idx val="1"/>
              <c:tx>
                <c:rich>
                  <a:bodyPr/>
                  <a:lstStyle/>
                  <a:p>
                    <a:fld id="{F2904C36-E5E3-40A6-8001-2FA652A23496}"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FFA-42DD-AE0B-ED7E1F1BD85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Charts!$B$1:$C$1</c:f>
              <c:strCache>
                <c:ptCount val="2"/>
                <c:pt idx="0">
                  <c:v>Female</c:v>
                </c:pt>
                <c:pt idx="1">
                  <c:v>Male</c:v>
                </c:pt>
              </c:strCache>
            </c:strRef>
          </c:cat>
          <c:val>
            <c:numRef>
              <c:f>Charts!$B$2:$C$2</c:f>
              <c:numCache>
                <c:formatCode>0%</c:formatCode>
                <c:ptCount val="2"/>
                <c:pt idx="0">
                  <c:v>0.64102564102564108</c:v>
                </c:pt>
                <c:pt idx="1">
                  <c:v>0.35897435897435898</c:v>
                </c:pt>
              </c:numCache>
            </c:numRef>
          </c:val>
          <c:extLst>
            <c:ext xmlns:c16="http://schemas.microsoft.com/office/drawing/2014/chart" uri="{C3380CC4-5D6E-409C-BE32-E72D297353CC}">
              <c16:uniqueId val="{00000004-7FFA-42DD-AE0B-ED7E1F1BD85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r>
              <a:rPr lang="en-US"/>
              <a:t>Assistant Secretary/above</a:t>
            </a:r>
          </a:p>
        </c:rich>
      </c:tx>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279304709552816"/>
          <c:y val="0.43376291093109764"/>
          <c:w val="0.48523151587183677"/>
          <c:h val="0.46254083347495234"/>
        </c:manualLayout>
      </c:layout>
      <c:doughnutChart>
        <c:varyColors val="1"/>
        <c:ser>
          <c:idx val="0"/>
          <c:order val="0"/>
          <c:tx>
            <c:strRef>
              <c:f>Charts!$A$12</c:f>
              <c:strCache>
                <c:ptCount val="1"/>
                <c:pt idx="0">
                  <c:v>Executive Officer /Staff Officer</c:v>
                </c:pt>
              </c:strCache>
            </c:strRef>
          </c:tx>
          <c:spPr>
            <a:solidFill>
              <a:schemeClr val="tx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89D-4DDE-AC4E-7DE85967149D}"/>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89D-4DDE-AC4E-7DE85967149D}"/>
              </c:ext>
            </c:extLst>
          </c:dPt>
          <c:dLbls>
            <c:dLbl>
              <c:idx val="0"/>
              <c:tx>
                <c:rich>
                  <a:bodyPr/>
                  <a:lstStyle/>
                  <a:p>
                    <a:r>
                      <a:rPr lang="en-US" baseline="0"/>
                      <a:t>40%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89D-4DDE-AC4E-7DE85967149D}"/>
                </c:ext>
              </c:extLst>
            </c:dLbl>
            <c:dLbl>
              <c:idx val="1"/>
              <c:tx>
                <c:rich>
                  <a:bodyPr/>
                  <a:lstStyle/>
                  <a:p>
                    <a:r>
                      <a:rPr lang="en-US"/>
                      <a:t>60%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89D-4DDE-AC4E-7DE8596714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Charts!$B$11:$C$11</c:f>
              <c:strCache>
                <c:ptCount val="2"/>
                <c:pt idx="0">
                  <c:v>Female</c:v>
                </c:pt>
                <c:pt idx="1">
                  <c:v>Male</c:v>
                </c:pt>
              </c:strCache>
            </c:strRef>
          </c:cat>
          <c:val>
            <c:numRef>
              <c:f>Charts!$B$12:$C$12</c:f>
              <c:numCache>
                <c:formatCode>0%</c:formatCode>
                <c:ptCount val="2"/>
                <c:pt idx="0">
                  <c:v>0.33333333333333331</c:v>
                </c:pt>
                <c:pt idx="1">
                  <c:v>0.66666666666666663</c:v>
                </c:pt>
              </c:numCache>
            </c:numRef>
          </c:val>
          <c:extLst>
            <c:ext xmlns:c16="http://schemas.microsoft.com/office/drawing/2014/chart" uri="{C3380CC4-5D6E-409C-BE32-E72D297353CC}">
              <c16:uniqueId val="{00000004-889D-4DDE-AC4E-7DE85967149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Charts!$A$6</c:f>
              <c:strCache>
                <c:ptCount val="1"/>
                <c:pt idx="0">
                  <c:v>Principal Officer</c:v>
                </c:pt>
              </c:strCache>
            </c:strRef>
          </c:tx>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ECC-4829-BA32-4F1712822C3E}"/>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ECC-4829-BA32-4F1712822C3E}"/>
              </c:ext>
            </c:extLst>
          </c:dPt>
          <c:dLbls>
            <c:dLbl>
              <c:idx val="0"/>
              <c:tx>
                <c:rich>
                  <a:bodyPr/>
                  <a:lstStyle/>
                  <a:p>
                    <a:r>
                      <a:rPr lang="en-US"/>
                      <a:t>61%</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ECC-4829-BA32-4F1712822C3E}"/>
                </c:ext>
              </c:extLst>
            </c:dLbl>
            <c:dLbl>
              <c:idx val="1"/>
              <c:tx>
                <c:rich>
                  <a:bodyPr/>
                  <a:lstStyle/>
                  <a:p>
                    <a:r>
                      <a:rPr lang="en-US"/>
                      <a:t>39%</a:t>
                    </a:r>
                    <a:endParaRPr lang="en-US" baseline="0"/>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ECC-4829-BA32-4F1712822C3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Charts!$B$5:$C$5</c:f>
              <c:strCache>
                <c:ptCount val="2"/>
                <c:pt idx="0">
                  <c:v>Female</c:v>
                </c:pt>
                <c:pt idx="1">
                  <c:v>Male</c:v>
                </c:pt>
              </c:strCache>
            </c:strRef>
          </c:cat>
          <c:val>
            <c:numRef>
              <c:f>Charts!$B$6:$C$6</c:f>
              <c:numCache>
                <c:formatCode>0%</c:formatCode>
                <c:ptCount val="2"/>
                <c:pt idx="0">
                  <c:v>0.56896551724137934</c:v>
                </c:pt>
                <c:pt idx="1">
                  <c:v>0.43103448275862066</c:v>
                </c:pt>
              </c:numCache>
            </c:numRef>
          </c:val>
          <c:extLst>
            <c:ext xmlns:c16="http://schemas.microsoft.com/office/drawing/2014/chart" uri="{C3380CC4-5D6E-409C-BE32-E72D297353CC}">
              <c16:uniqueId val="{00000004-EECC-4829-BA32-4F1712822C3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815782173569766"/>
          <c:y val="0.4097820955833758"/>
          <c:w val="0.54980901777521707"/>
          <c:h val="0.48652164882267412"/>
        </c:manualLayout>
      </c:layout>
      <c:doughnutChart>
        <c:varyColors val="1"/>
        <c:ser>
          <c:idx val="0"/>
          <c:order val="0"/>
          <c:tx>
            <c:strRef>
              <c:f>Charts!$A$8</c:f>
              <c:strCache>
                <c:ptCount val="1"/>
                <c:pt idx="0">
                  <c:v>Assistant Principal</c:v>
                </c:pt>
              </c:strCache>
            </c:strRef>
          </c:tx>
          <c:spPr>
            <a:solidFill>
              <a:schemeClr val="accent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43D-4716-B431-984170B421FD}"/>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43D-4716-B431-984170B421FD}"/>
              </c:ext>
            </c:extLst>
          </c:dPt>
          <c:dLbls>
            <c:dLbl>
              <c:idx val="0"/>
              <c:tx>
                <c:rich>
                  <a:bodyPr/>
                  <a:lstStyle/>
                  <a:p>
                    <a:fld id="{3FDE90FB-E2CD-4C9B-8C9D-C6506F8592DC}"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43D-4716-B431-984170B421FD}"/>
                </c:ext>
              </c:extLst>
            </c:dLbl>
            <c:dLbl>
              <c:idx val="1"/>
              <c:tx>
                <c:rich>
                  <a:bodyPr/>
                  <a:lstStyle/>
                  <a:p>
                    <a:fld id="{E4020232-70AF-4311-9060-942FE7479AB6}"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43D-4716-B431-984170B421F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Charts!$B$7:$C$7</c:f>
              <c:strCache>
                <c:ptCount val="2"/>
                <c:pt idx="0">
                  <c:v>Female</c:v>
                </c:pt>
                <c:pt idx="1">
                  <c:v>Male</c:v>
                </c:pt>
              </c:strCache>
            </c:strRef>
          </c:cat>
          <c:val>
            <c:numRef>
              <c:f>Charts!$B$8:$C$8</c:f>
              <c:numCache>
                <c:formatCode>0%</c:formatCode>
                <c:ptCount val="2"/>
                <c:pt idx="0">
                  <c:v>0.68867924528301883</c:v>
                </c:pt>
                <c:pt idx="1">
                  <c:v>0.31132075471698112</c:v>
                </c:pt>
              </c:numCache>
            </c:numRef>
          </c:val>
          <c:extLst>
            <c:ext xmlns:c16="http://schemas.microsoft.com/office/drawing/2014/chart" uri="{C3380CC4-5D6E-409C-BE32-E72D297353CC}">
              <c16:uniqueId val="{00000004-143D-4716-B431-984170B421F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r>
              <a:rPr lang="en-US" sz="1200" cap="none"/>
              <a:t>Higher Executive/ Administration</a:t>
            </a:r>
          </a:p>
        </c:rich>
      </c:tx>
      <c:layout>
        <c:manualLayout>
          <c:xMode val="edge"/>
          <c:yMode val="edge"/>
          <c:x val="0.17763583123538129"/>
          <c:y val="2.2075055187637971E-2"/>
        </c:manualLayout>
      </c:layout>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795908155365471"/>
          <c:y val="0.37449785882027903"/>
          <c:w val="0.53415377933873376"/>
          <c:h val="0.52103421282865958"/>
        </c:manualLayout>
      </c:layout>
      <c:doughnutChart>
        <c:varyColors val="1"/>
        <c:ser>
          <c:idx val="0"/>
          <c:order val="0"/>
          <c:tx>
            <c:strRef>
              <c:f>Charts!$A$10</c:f>
              <c:strCache>
                <c:ptCount val="1"/>
                <c:pt idx="0">
                  <c:v>Higher Executive Officer /Administration Officer</c:v>
                </c:pt>
              </c:strCache>
            </c:strRef>
          </c:tx>
          <c:spPr>
            <a:solidFill>
              <a:schemeClr val="accent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DFE-4A8A-92F0-D44D10FE2AB7}"/>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DFE-4A8A-92F0-D44D10FE2AB7}"/>
              </c:ext>
            </c:extLst>
          </c:dPt>
          <c:dLbls>
            <c:dLbl>
              <c:idx val="0"/>
              <c:tx>
                <c:rich>
                  <a:bodyPr/>
                  <a:lstStyle/>
                  <a:p>
                    <a:fld id="{0AA0EED9-0DE9-4105-9180-600904A8BAD3}"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DFE-4A8A-92F0-D44D10FE2AB7}"/>
                </c:ext>
              </c:extLst>
            </c:dLbl>
            <c:dLbl>
              <c:idx val="1"/>
              <c:tx>
                <c:rich>
                  <a:bodyPr/>
                  <a:lstStyle/>
                  <a:p>
                    <a:fld id="{89492052-8A39-4B58-9775-F9408A7978A9}"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DFE-4A8A-92F0-D44D10FE2AB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Charts!$B$9:$C$9</c:f>
              <c:strCache>
                <c:ptCount val="2"/>
                <c:pt idx="0">
                  <c:v>Female</c:v>
                </c:pt>
                <c:pt idx="1">
                  <c:v>Male</c:v>
                </c:pt>
              </c:strCache>
            </c:strRef>
          </c:cat>
          <c:val>
            <c:numRef>
              <c:f>Charts!$B$10:$C$10</c:f>
              <c:numCache>
                <c:formatCode>0%</c:formatCode>
                <c:ptCount val="2"/>
                <c:pt idx="0">
                  <c:v>0.59375</c:v>
                </c:pt>
                <c:pt idx="1">
                  <c:v>0.40625</c:v>
                </c:pt>
              </c:numCache>
            </c:numRef>
          </c:val>
          <c:extLst>
            <c:ext xmlns:c16="http://schemas.microsoft.com/office/drawing/2014/chart" uri="{C3380CC4-5D6E-409C-BE32-E72D297353CC}">
              <c16:uniqueId val="{00000004-0DFE-4A8A-92F0-D44D10FE2AB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66978014387878"/>
          <c:y val="0.41294838145231844"/>
          <c:w val="0.55888509887681048"/>
          <c:h val="0.48436708569323572"/>
        </c:manualLayout>
      </c:layout>
      <c:doughnutChart>
        <c:varyColors val="1"/>
        <c:ser>
          <c:idx val="0"/>
          <c:order val="0"/>
          <c:tx>
            <c:strRef>
              <c:f>Charts!$A$12</c:f>
              <c:strCache>
                <c:ptCount val="1"/>
                <c:pt idx="0">
                  <c:v>Executive Officer /Staff Officer</c:v>
                </c:pt>
              </c:strCache>
            </c:strRef>
          </c:tx>
          <c:spPr>
            <a:solidFill>
              <a:schemeClr val="tx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BA3-4036-A2BD-BB537AD64013}"/>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BA3-4036-A2BD-BB537AD64013}"/>
              </c:ext>
            </c:extLst>
          </c:dPt>
          <c:dLbls>
            <c:dLbl>
              <c:idx val="0"/>
              <c:tx>
                <c:rich>
                  <a:bodyPr/>
                  <a:lstStyle/>
                  <a:p>
                    <a:r>
                      <a:rPr lang="en-US" baseline="0"/>
                      <a:t> </a:t>
                    </a:r>
                    <a:fld id="{93B13F14-ED44-4053-A701-8CBAF7A75707}"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BA3-4036-A2BD-BB537AD64013}"/>
                </c:ext>
              </c:extLst>
            </c:dLbl>
            <c:dLbl>
              <c:idx val="1"/>
              <c:tx>
                <c:rich>
                  <a:bodyPr/>
                  <a:lstStyle/>
                  <a:p>
                    <a:fld id="{F178658C-D619-49CC-AD36-2EB2AB93734E}" type="VALUE">
                      <a:rPr lang="en-US"/>
                      <a:pPr/>
                      <a:t>[VALUE]</a:t>
                    </a:fld>
                    <a:endParaRPr lang="en-IE"/>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A3-4036-A2BD-BB537AD6401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Charts!$B$11:$C$11</c:f>
              <c:strCache>
                <c:ptCount val="2"/>
                <c:pt idx="0">
                  <c:v>Female</c:v>
                </c:pt>
                <c:pt idx="1">
                  <c:v>Male</c:v>
                </c:pt>
              </c:strCache>
            </c:strRef>
          </c:cat>
          <c:val>
            <c:numRef>
              <c:f>Charts!$B$12:$C$12</c:f>
              <c:numCache>
                <c:formatCode>0%</c:formatCode>
                <c:ptCount val="2"/>
                <c:pt idx="0">
                  <c:v>0.33333333333333331</c:v>
                </c:pt>
                <c:pt idx="1">
                  <c:v>0.66666666666666663</c:v>
                </c:pt>
              </c:numCache>
            </c:numRef>
          </c:val>
          <c:extLst>
            <c:ext xmlns:c16="http://schemas.microsoft.com/office/drawing/2014/chart" uri="{C3380CC4-5D6E-409C-BE32-E72D297353CC}">
              <c16:uniqueId val="{00000004-4BA3-4036-A2BD-BB537AD6401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283913228795119"/>
          <c:y val="0.40710042823594417"/>
          <c:w val="0.59705677815914038"/>
          <c:h val="0.49021503890960999"/>
        </c:manualLayout>
      </c:layout>
      <c:doughnutChart>
        <c:varyColors val="1"/>
        <c:ser>
          <c:idx val="0"/>
          <c:order val="0"/>
          <c:tx>
            <c:strRef>
              <c:f>Charts!$A$14</c:f>
              <c:strCache>
                <c:ptCount val="1"/>
                <c:pt idx="0">
                  <c:v>Clerical Officer /Service Officer</c:v>
                </c:pt>
              </c:strCache>
            </c:strRef>
          </c:tx>
          <c:spPr>
            <a:solidFill>
              <a:schemeClr val="tx2">
                <a:lumMod val="40000"/>
                <a:lumOff val="60000"/>
              </a:schemeClr>
            </a:solidFill>
          </c:spPr>
          <c:dPt>
            <c:idx val="0"/>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B05-4C0C-94EC-93DF29866764}"/>
              </c:ext>
            </c:extLst>
          </c:dPt>
          <c:dPt>
            <c:idx val="1"/>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B05-4C0C-94EC-93DF29866764}"/>
              </c:ext>
            </c:extLst>
          </c:dPt>
          <c:dLbls>
            <c:dLbl>
              <c:idx val="0"/>
              <c:tx>
                <c:rich>
                  <a:bodyPr/>
                  <a:lstStyle/>
                  <a:p>
                    <a:r>
                      <a:rPr lang="en-US"/>
                      <a:t>78%</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B05-4C0C-94EC-93DF29866764}"/>
                </c:ext>
              </c:extLst>
            </c:dLbl>
            <c:dLbl>
              <c:idx val="1"/>
              <c:tx>
                <c:rich>
                  <a:bodyPr/>
                  <a:lstStyle/>
                  <a:p>
                    <a:r>
                      <a:rPr lang="en-US"/>
                      <a:t>22%</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B05-4C0C-94EC-93DF298667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Charts!$B$13:$C$13</c:f>
              <c:strCache>
                <c:ptCount val="2"/>
                <c:pt idx="0">
                  <c:v>Female</c:v>
                </c:pt>
                <c:pt idx="1">
                  <c:v>Male</c:v>
                </c:pt>
              </c:strCache>
            </c:strRef>
          </c:cat>
          <c:val>
            <c:numRef>
              <c:f>Charts!$B$14:$C$14</c:f>
              <c:numCache>
                <c:formatCode>0%</c:formatCode>
                <c:ptCount val="2"/>
                <c:pt idx="0">
                  <c:v>0.75</c:v>
                </c:pt>
                <c:pt idx="1">
                  <c:v>0.25</c:v>
                </c:pt>
              </c:numCache>
            </c:numRef>
          </c:val>
          <c:extLst>
            <c:ext xmlns:c16="http://schemas.microsoft.com/office/drawing/2014/chart" uri="{C3380CC4-5D6E-409C-BE32-E72D297353CC}">
              <c16:uniqueId val="{00000004-4B05-4C0C-94EC-93DF2986676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ABF3E04C13F4CBE8D615E86116FAE" ma:contentTypeVersion="1" ma:contentTypeDescription="Create a new document." ma:contentTypeScope="" ma:versionID="01603f2f372856e1bd714b9723cf2398">
  <xsd:schema xmlns:xsd="http://www.w3.org/2001/XMLSchema" xmlns:xs="http://www.w3.org/2001/XMLSchema" xmlns:p="http://schemas.microsoft.com/office/2006/metadata/properties" xmlns:ns2="07a9e16b-dbb3-43d7-833e-c4322ba4ada2" targetNamespace="http://schemas.microsoft.com/office/2006/metadata/properties" ma:root="true" ma:fieldsID="0056e854517e854587b86cbad6c0f5e1" ns2:_="">
    <xsd:import namespace="07a9e16b-dbb3-43d7-833e-c4322ba4ada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9e16b-dbb3-43d7-833e-c4322ba4a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7a9e16b-dbb3-43d7-833e-c4322ba4ada2">EMNECYHSQWVQ-748212775-1</_dlc_DocId>
    <_dlc_DocIdUrl xmlns="07a9e16b-dbb3-43d7-833e-c4322ba4ada2">
      <Url>http://insight/_layouts/15/DocIdRedir.aspx?ID=EMNECYHSQWVQ-748212775-1</Url>
      <Description>EMNECYHSQWVQ-748212775-1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7BBE-C238-443B-80EF-B29EDDC84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9e16b-dbb3-43d7-833e-c4322ba4a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C47C1-BBCE-4888-8A65-3A29E826C830}">
  <ds:schemaRefs>
    <ds:schemaRef ds:uri="http://schemas.microsoft.com/sharepoint/v3/contenttype/forms"/>
  </ds:schemaRefs>
</ds:datastoreItem>
</file>

<file path=customXml/itemProps3.xml><?xml version="1.0" encoding="utf-8"?>
<ds:datastoreItem xmlns:ds="http://schemas.openxmlformats.org/officeDocument/2006/customXml" ds:itemID="{BE964B01-4F86-4CAF-81E1-6C701A886BBD}">
  <ds:schemaRefs>
    <ds:schemaRef ds:uri="http://schemas.microsoft.com/sharepoint/events"/>
  </ds:schemaRefs>
</ds:datastoreItem>
</file>

<file path=customXml/itemProps4.xml><?xml version="1.0" encoding="utf-8"?>
<ds:datastoreItem xmlns:ds="http://schemas.openxmlformats.org/officeDocument/2006/customXml" ds:itemID="{0281C62A-7FE6-4595-B84F-CCAAFB19849C}">
  <ds:schemaRef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07a9e16b-dbb3-43d7-833e-c4322ba4ada2"/>
  </ds:schemaRefs>
</ds:datastoreItem>
</file>

<file path=customXml/itemProps5.xml><?xml version="1.0" encoding="utf-8"?>
<ds:datastoreItem xmlns:ds="http://schemas.openxmlformats.org/officeDocument/2006/customXml" ds:itemID="{C4F15954-AC93-4CA3-BCDE-46AD3812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Orlagh Flood</dc:creator>
  <cp:keywords/>
  <dc:description/>
  <cp:lastModifiedBy>Pamela O'Connor</cp:lastModifiedBy>
  <cp:revision>31</cp:revision>
  <cp:lastPrinted>2024-11-21T13:04:00Z</cp:lastPrinted>
  <dcterms:created xsi:type="dcterms:W3CDTF">2024-11-21T13:07:00Z</dcterms:created>
  <dcterms:modified xsi:type="dcterms:W3CDTF">2024-12-30T14:07:00Z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0x010100801ABF3E04C13F4CBE8D615E86116FAE</vt:lpwstr>
  </property>
  <property fmtid="{D5CDD505-2E9C-101B-9397-08002B2CF9AE}" pid="3" name="Section">
    <vt:lpwstr>Communications Unit</vt:lpwstr>
  </property>
  <property fmtid="{D5CDD505-2E9C-101B-9397-08002B2CF9AE}" pid="4" name="_dlc_DocIdItemGuid">
    <vt:lpwstr>fa13c65c-408c-4c83-ac96-0a6bbf5728c2</vt:lpwstr>
  </property>
</Properties>
</file>